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30D73" w:rsidR="00F30D73" w:rsidP="00F30D73" w:rsidRDefault="00F30D73" w14:paraId="2dda2db" w14:textId="2dda2db">
      <w:pPr>
        <w:jc w:val="right"/>
        <w15:collapsed w:val="false"/>
      </w:pPr>
      <w:bookmarkStart w:name="_GoBack" w:id="0"/>
      <w:bookmarkEnd w:id="0"/>
      <w:r w:rsidRPr="00F30D73">
        <w:t>1</w:t>
      </w:r>
      <w:r>
        <w:t xml:space="preserve"> </w:t>
      </w:r>
      <w:r w:rsidRPr="00F30D73">
        <w:t>S</w:t>
      </w:r>
      <w:r>
        <w:t>t</w:t>
      </w:r>
      <w:r w:rsidRPr="00F30D73">
        <w:t>-</w:t>
      </w:r>
      <w:r w:rsidR="006868CD">
        <w:t>142</w:t>
      </w:r>
      <w:r w:rsidRPr="00F30D73">
        <w:t>/</w:t>
      </w:r>
      <w:r w:rsidR="00651E9B">
        <w:t>20</w:t>
      </w:r>
      <w:r w:rsidR="004963B1">
        <w:t>18</w:t>
      </w:r>
      <w:r w:rsidR="00B30EDC">
        <w:t>-</w:t>
      </w:r>
      <w:r w:rsidR="006868CD">
        <w:t>102</w:t>
      </w:r>
    </w:p>
    <w:p w:rsidRPr="00F24E03" w:rsidR="008E380D" w:rsidP="009E003C" w:rsidRDefault="008E380D"/>
    <w:p w:rsidRPr="00F24E03" w:rsidR="009E003C" w:rsidP="009E003C" w:rsidRDefault="009E003C">
      <w:pPr>
        <w:jc w:val="center"/>
      </w:pPr>
      <w:r w:rsidRPr="00F24E03">
        <w:t>Z A P I S N I K</w:t>
      </w:r>
    </w:p>
    <w:p w:rsidRPr="00F24E03" w:rsidR="009E003C" w:rsidP="009E003C" w:rsidRDefault="009E003C">
      <w:pPr>
        <w:jc w:val="center"/>
      </w:pPr>
    </w:p>
    <w:p w:rsidR="00F24E03" w:rsidP="009E003C" w:rsidRDefault="009E003C">
      <w:pPr>
        <w:jc w:val="both"/>
      </w:pPr>
      <w:r w:rsidRPr="00F24E03">
        <w:t>sa SKUPŠTINE VJEROVNIKA</w:t>
      </w:r>
      <w:r w:rsidRPr="00F24E03" w:rsidR="00EC4814">
        <w:t xml:space="preserve"> održane</w:t>
      </w:r>
      <w:r w:rsidRPr="00F24E03">
        <w:t xml:space="preserve"> kod Trgovačkog suda u Zadru, u stečajnom postupku nad stečajnim dužnikom </w:t>
      </w:r>
      <w:r w:rsidRPr="003C5E5B" w:rsidR="006868CD">
        <w:t>MATKOL d.o.o. u stečaju, Šibenik, 8. Dalmatinske udarne brigade 23, OIB: 14821448506</w:t>
      </w:r>
      <w:r w:rsidR="00F30D73">
        <w:t>,</w:t>
      </w:r>
      <w:r w:rsidRPr="00F24E03">
        <w:t xml:space="preserve"> </w:t>
      </w:r>
      <w:r w:rsidR="006868CD">
        <w:t>27</w:t>
      </w:r>
      <w:r w:rsidR="00651E9B">
        <w:t xml:space="preserve">. </w:t>
      </w:r>
      <w:r w:rsidR="00742BE1">
        <w:t>siječnja</w:t>
      </w:r>
      <w:r w:rsidR="004963B1">
        <w:t xml:space="preserve"> 202</w:t>
      </w:r>
      <w:r w:rsidR="006868CD">
        <w:t>1</w:t>
      </w:r>
      <w:r w:rsidR="00651E9B">
        <w:t>.</w:t>
      </w:r>
    </w:p>
    <w:p w:rsidR="00F30D73" w:rsidP="009E003C" w:rsidRDefault="00F30D73">
      <w:pPr>
        <w:jc w:val="both"/>
      </w:pPr>
    </w:p>
    <w:p w:rsidRPr="00C54F05" w:rsidR="009E003C" w:rsidP="009E003C" w:rsidRDefault="009E003C">
      <w:pPr>
        <w:jc w:val="both"/>
      </w:pPr>
      <w:r w:rsidRPr="00C54F05">
        <w:t>Nazočni od suda:</w:t>
      </w:r>
    </w:p>
    <w:p w:rsidRPr="00C54F05" w:rsidR="009E003C" w:rsidP="009E003C" w:rsidRDefault="009E003C">
      <w:pPr>
        <w:jc w:val="both"/>
      </w:pPr>
    </w:p>
    <w:p w:rsidRPr="00C54F05" w:rsidR="009E003C" w:rsidP="009E003C" w:rsidRDefault="009E003C">
      <w:pPr>
        <w:numPr>
          <w:ilvl w:val="0"/>
          <w:numId w:val="1"/>
        </w:numPr>
        <w:jc w:val="both"/>
      </w:pPr>
      <w:r w:rsidRPr="00C54F05">
        <w:t xml:space="preserve">Ardena Bajlo, </w:t>
      </w:r>
      <w:r w:rsidR="00651E9B">
        <w:t>sutkinja</w:t>
      </w:r>
    </w:p>
    <w:p w:rsidRPr="00C54F05" w:rsidR="009E003C" w:rsidP="009E003C" w:rsidRDefault="004041A5">
      <w:pPr>
        <w:numPr>
          <w:ilvl w:val="0"/>
          <w:numId w:val="1"/>
        </w:numPr>
        <w:jc w:val="both"/>
      </w:pPr>
      <w:r>
        <w:t>Ante Rubelj</w:t>
      </w:r>
      <w:r w:rsidRPr="00C54F05" w:rsidR="009E003C">
        <w:t>, zapisničar</w:t>
      </w:r>
    </w:p>
    <w:p w:rsidRPr="00C54F05" w:rsidR="009E003C" w:rsidP="009E003C" w:rsidRDefault="009E003C">
      <w:pPr>
        <w:jc w:val="both"/>
      </w:pPr>
    </w:p>
    <w:p w:rsidRPr="00C54F05" w:rsidR="009E003C" w:rsidP="009E003C" w:rsidRDefault="00350A4A">
      <w:pPr>
        <w:tabs>
          <w:tab w:val="left" w:pos="480"/>
        </w:tabs>
      </w:pPr>
      <w:r>
        <w:t>Početak u</w:t>
      </w:r>
      <w:r w:rsidR="00116AE8">
        <w:t xml:space="preserve"> </w:t>
      </w:r>
      <w:r w:rsidR="00743FBA">
        <w:t>9</w:t>
      </w:r>
      <w:r w:rsidR="00651E9B">
        <w:t>,</w:t>
      </w:r>
      <w:r w:rsidR="00743FBA">
        <w:t>45</w:t>
      </w:r>
      <w:r w:rsidRPr="00C54F05" w:rsidR="00A5237A">
        <w:t xml:space="preserve"> </w:t>
      </w:r>
      <w:r w:rsidRPr="00C54F05" w:rsidR="009E003C">
        <w:t>sati.</w:t>
      </w:r>
    </w:p>
    <w:p w:rsidRPr="00C54F05" w:rsidR="009E003C" w:rsidP="009E003C" w:rsidRDefault="009E003C">
      <w:pPr>
        <w:ind w:left="360"/>
      </w:pPr>
    </w:p>
    <w:p w:rsidRPr="00C54F05" w:rsidR="009E003C" w:rsidP="009E003C" w:rsidRDefault="00336222">
      <w:pPr>
        <w:jc w:val="both"/>
      </w:pPr>
      <w:r>
        <w:t xml:space="preserve">Utvrđuje se da je nazočna </w:t>
      </w:r>
      <w:r w:rsidR="006868CD">
        <w:t>Radojka Danek</w:t>
      </w:r>
      <w:r w:rsidR="00651E9B">
        <w:t>,</w:t>
      </w:r>
      <w:r w:rsidRPr="00C54F05" w:rsidR="009E003C">
        <w:t xml:space="preserve"> stečajn</w:t>
      </w:r>
      <w:r>
        <w:t>a upraviteljica</w:t>
      </w:r>
      <w:r w:rsidRPr="00C54F05" w:rsidR="009E003C">
        <w:t>.</w:t>
      </w:r>
    </w:p>
    <w:p w:rsidR="009E003C" w:rsidP="009E003C" w:rsidRDefault="009E003C">
      <w:pPr>
        <w:jc w:val="both"/>
      </w:pPr>
    </w:p>
    <w:p w:rsidR="00793082" w:rsidP="00793082" w:rsidRDefault="00793082">
      <w:pPr>
        <w:ind w:left="360" w:hanging="360"/>
        <w:jc w:val="both"/>
      </w:pPr>
      <w:r w:rsidRPr="00C54F05">
        <w:t>Nazočni od vjerovnika:</w:t>
      </w:r>
      <w:r w:rsidR="00EE5C42">
        <w:t xml:space="preserve"> </w:t>
      </w:r>
      <w:r w:rsidR="00743FBA">
        <w:t>za OTP banku Valentina Mrkić Budiša po punomoći, zaposlenica</w:t>
      </w:r>
    </w:p>
    <w:p w:rsidRPr="00C54F05" w:rsidR="004D5067" w:rsidP="00F71208" w:rsidRDefault="004D5067">
      <w:pPr>
        <w:jc w:val="both"/>
      </w:pPr>
    </w:p>
    <w:p w:rsidRPr="00C54F05" w:rsidR="001648F1" w:rsidP="001648F1" w:rsidRDefault="009E003C">
      <w:pPr>
        <w:jc w:val="both"/>
      </w:pPr>
      <w:r w:rsidRPr="00C54F05">
        <w:t>Utvrđuje se da je oglas o održavanju današnje skupštine vjerovnika objavljen</w:t>
      </w:r>
      <w:r w:rsidR="002316EC">
        <w:t xml:space="preserve"> na e-oglasnoj ploči suda</w:t>
      </w:r>
      <w:r w:rsidRPr="00C54F05">
        <w:t xml:space="preserve"> </w:t>
      </w:r>
      <w:r w:rsidR="002316EC">
        <w:t>dana</w:t>
      </w:r>
      <w:r w:rsidR="0026682E">
        <w:t xml:space="preserve"> 28</w:t>
      </w:r>
      <w:r w:rsidR="00651E9B">
        <w:t xml:space="preserve">. </w:t>
      </w:r>
      <w:r w:rsidR="0026682E">
        <w:t>prosinca</w:t>
      </w:r>
      <w:r w:rsidR="004963B1">
        <w:t xml:space="preserve"> 2020</w:t>
      </w:r>
      <w:r w:rsidR="005F0790">
        <w:t>.</w:t>
      </w:r>
      <w:r w:rsidRPr="00C54F05" w:rsidR="00E4499D">
        <w:t xml:space="preserve"> </w:t>
      </w:r>
      <w:r w:rsidRPr="00C54F05">
        <w:t>sa dnevnim redom</w:t>
      </w:r>
      <w:r w:rsidRPr="00C54F05" w:rsidR="001648F1">
        <w:t>:</w:t>
      </w:r>
    </w:p>
    <w:p w:rsidRPr="00C54F05" w:rsidR="004963B1" w:rsidP="001648F1" w:rsidRDefault="004963B1">
      <w:pPr>
        <w:jc w:val="both"/>
      </w:pPr>
    </w:p>
    <w:p w:rsidR="00336222" w:rsidP="00336222" w:rsidRDefault="0026682E">
      <w:pPr>
        <w:pStyle w:val="Odlomakpopisa"/>
        <w:numPr>
          <w:ilvl w:val="0"/>
          <w:numId w:val="21"/>
        </w:numPr>
        <w:jc w:val="both"/>
      </w:pPr>
      <w:r w:rsidRPr="00DB2ED0">
        <w:t>Donošenje odluke o uvjetima unovčenja imovine stečajnog dužnika</w:t>
      </w:r>
      <w:r w:rsidR="00336222">
        <w:t>.</w:t>
      </w:r>
    </w:p>
    <w:p w:rsidR="006539F1" w:rsidP="0069087B" w:rsidRDefault="006539F1">
      <w:pPr>
        <w:ind w:left="360"/>
        <w:jc w:val="both"/>
      </w:pPr>
    </w:p>
    <w:p w:rsidR="00450FD5" w:rsidP="00450FD5" w:rsidRDefault="00450FD5">
      <w:pPr>
        <w:jc w:val="both"/>
      </w:pPr>
      <w:r>
        <w:t>AD 1)</w:t>
      </w:r>
    </w:p>
    <w:p w:rsidR="00450FD5" w:rsidP="00450FD5" w:rsidRDefault="00450FD5">
      <w:pPr>
        <w:jc w:val="both"/>
      </w:pPr>
    </w:p>
    <w:p w:rsidR="00D00E49" w:rsidP="00F71208" w:rsidRDefault="00336222">
      <w:pPr>
        <w:jc w:val="both"/>
      </w:pPr>
      <w:r>
        <w:t>Stečajna</w:t>
      </w:r>
      <w:r w:rsidR="00F71208">
        <w:t xml:space="preserve"> upravitelj</w:t>
      </w:r>
      <w:r>
        <w:t>ica</w:t>
      </w:r>
      <w:r w:rsidR="00F71208">
        <w:t xml:space="preserve"> </w:t>
      </w:r>
      <w:r w:rsidR="00743FBA">
        <w:t>navodi da su rješenja o unovčenju svake pojedine nekretnine stečajnog dužnika već prethodno donesena i da su postala pravomoćna, a da se temeljem skupštine vjerovnika unovčila samo jedna nekretnina za koju se smatralo da će biti dovoljna za podmirenje dužnikovih vjerovnika, no da je kupovnina bila nedostatna te stoga radi namirenja vjerovnika predlaže nastavi unovčenje preostalih 6 nekretnina na kojima na jednoj postoji razlučno pravo OTP banke, a na ostalima RH.</w:t>
      </w:r>
      <w:r w:rsidR="00450FD5">
        <w:t xml:space="preserve"> </w:t>
      </w:r>
    </w:p>
    <w:p w:rsidR="00D64F30" w:rsidP="00F71208" w:rsidRDefault="00D64F30">
      <w:pPr>
        <w:jc w:val="both"/>
      </w:pPr>
    </w:p>
    <w:p w:rsidR="00D64F30" w:rsidP="00F71208" w:rsidRDefault="00D64F30">
      <w:pPr>
        <w:jc w:val="both"/>
      </w:pPr>
      <w:r>
        <w:t>Punomoćnica OTP banke navodi da je u međuvremenu obavljena procjena nekretnine na kojoj OTP banka ima razlučno pravo.</w:t>
      </w:r>
    </w:p>
    <w:p w:rsidR="00D64F30" w:rsidP="00F71208" w:rsidRDefault="00D64F30">
      <w:pPr>
        <w:jc w:val="both"/>
      </w:pPr>
    </w:p>
    <w:p w:rsidR="00D64F30" w:rsidP="00F71208" w:rsidRDefault="00D64F30">
      <w:pPr>
        <w:jc w:val="both"/>
      </w:pPr>
      <w:r>
        <w:t>Konstatira se da je u 9,51 sati u sudnicu ušao Branko Koloper, raniji zastupnik po zakonu stečajnog dužnika i inače vjerovnik u ovom postupku. Isti dalje navodi da ima punomoć za zastupanje Ivana Kolopera, sina, zatim Ante Kolopera također sina i da ujedno zastupa i PEKARU VIDICI d.o.o. Šibenik čiji je zastupnik po zakonu.</w:t>
      </w:r>
    </w:p>
    <w:p w:rsidR="00D64F30" w:rsidP="00F71208" w:rsidRDefault="00D64F30">
      <w:pPr>
        <w:jc w:val="both"/>
      </w:pPr>
    </w:p>
    <w:p w:rsidR="00D64F30" w:rsidP="00F71208" w:rsidRDefault="00D64F30">
      <w:pPr>
        <w:jc w:val="both"/>
      </w:pPr>
      <w:r>
        <w:t>Obzirom na činjenicu da je na skupštinu vjerovnika pristupilo više od jednog vjerovnika potrebno je utvrditi pravo glasa koje je slijedeće:</w:t>
      </w:r>
    </w:p>
    <w:p w:rsidR="00D64F30" w:rsidP="00F71208" w:rsidRDefault="00D64F30">
      <w:pPr>
        <w:jc w:val="both"/>
      </w:pPr>
    </w:p>
    <w:p w:rsidR="00D64F30" w:rsidP="00F71208" w:rsidRDefault="00D64F30">
      <w:pPr>
        <w:jc w:val="both"/>
      </w:pPr>
    </w:p>
    <w:p w:rsidR="00D64F30" w:rsidP="00F71208" w:rsidRDefault="00D64F30">
      <w:pPr>
        <w:jc w:val="both"/>
      </w:pPr>
    </w:p>
    <w:p w:rsidR="00D64F30" w:rsidP="00F71208" w:rsidRDefault="00D64F30">
      <w:pPr>
        <w:jc w:val="both"/>
      </w:pPr>
    </w:p>
    <w:p w:rsidR="00D64F30" w:rsidP="00F71208" w:rsidRDefault="00D64F30">
      <w:pPr>
        <w:jc w:val="both"/>
      </w:pPr>
    </w:p>
    <w:p w:rsidR="00D64F30" w:rsidP="00F71208" w:rsidRDefault="00D64F30">
      <w:pPr>
        <w:jc w:val="both"/>
      </w:pPr>
    </w:p>
    <w:tbl>
      <w:tblPr>
        <w:tblW w:w="7609" w:type="dxa"/>
        <w:tblInd w:w="93" w:type="dxa"/>
        <w:tblLook w:firstRow="1" w:lastRow="0" w:firstColumn="1" w:lastColumn="0" w:noHBand="0" w:noVBand="1" w:val="04A0"/>
      </w:tblPr>
      <w:tblGrid>
        <w:gridCol w:w="621"/>
        <w:gridCol w:w="651"/>
        <w:gridCol w:w="1247"/>
        <w:gridCol w:w="1618"/>
        <w:gridCol w:w="2200"/>
        <w:gridCol w:w="1272"/>
      </w:tblGrid>
      <w:tr w:rsidR="00D64F30" w:rsidTr="00D64F30">
        <w:trPr>
          <w:gridAfter w:val="4"/>
          <w:wAfter w:w="6337" w:type="dxa"/>
          <w:trHeight w:val="360"/>
        </w:trPr>
        <w:tc>
          <w:tcPr>
            <w:tcW w:w="1272" w:type="dxa"/>
            <w:gridSpan w:val="2"/>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p>
        </w:tc>
      </w:tr>
      <w:tr w:rsidR="00D64F30" w:rsidTr="00D64F30">
        <w:trPr>
          <w:trHeight w:val="255"/>
        </w:trPr>
        <w:tc>
          <w:tcPr>
            <w:tcW w:w="621" w:type="dxa"/>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p>
        </w:tc>
        <w:tc>
          <w:tcPr>
            <w:tcW w:w="1898" w:type="dxa"/>
            <w:gridSpan w:val="2"/>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p>
        </w:tc>
        <w:tc>
          <w:tcPr>
            <w:tcW w:w="1618" w:type="dxa"/>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p>
        </w:tc>
        <w:tc>
          <w:tcPr>
            <w:tcW w:w="1272" w:type="dxa"/>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p>
        </w:tc>
      </w:tr>
      <w:tr w:rsidR="00D64F30" w:rsidTr="00D64F30">
        <w:trPr>
          <w:trHeight w:val="255"/>
        </w:trPr>
        <w:tc>
          <w:tcPr>
            <w:tcW w:w="621" w:type="dxa"/>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p>
        </w:tc>
        <w:tc>
          <w:tcPr>
            <w:tcW w:w="1898" w:type="dxa"/>
            <w:gridSpan w:val="2"/>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p>
        </w:tc>
        <w:tc>
          <w:tcPr>
            <w:tcW w:w="1618" w:type="dxa"/>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p>
        </w:tc>
        <w:tc>
          <w:tcPr>
            <w:tcW w:w="1272" w:type="dxa"/>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p>
        </w:tc>
      </w:tr>
      <w:tr w:rsidR="00D64F30" w:rsidTr="00D64F30">
        <w:trPr>
          <w:trHeight w:val="300"/>
        </w:trPr>
        <w:tc>
          <w:tcPr>
            <w:tcW w:w="621" w:type="dxa"/>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p>
        </w:tc>
        <w:tc>
          <w:tcPr>
            <w:tcW w:w="1898" w:type="dxa"/>
            <w:gridSpan w:val="2"/>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r>
              <w:rPr>
                <w:rFonts w:ascii="Arial" w:hAnsi="Arial" w:cs="Arial"/>
                <w:sz w:val="20"/>
                <w:szCs w:val="20"/>
              </w:rPr>
              <w:t>.</w:t>
            </w:r>
          </w:p>
        </w:tc>
        <w:tc>
          <w:tcPr>
            <w:tcW w:w="1618" w:type="dxa"/>
            <w:tcBorders>
              <w:top w:val="nil"/>
              <w:left w:val="nil"/>
              <w:bottom w:val="nil"/>
              <w:right w:val="nil"/>
            </w:tcBorders>
            <w:shd w:val="clear" w:color="auto" w:fill="auto"/>
            <w:noWrap/>
            <w:vAlign w:val="bottom"/>
            <w:hideMark/>
          </w:tcPr>
          <w:p w:rsidR="00D64F30" w:rsidRDefault="00D64F30">
            <w:pPr>
              <w:jc w:val="right"/>
              <w:rPr>
                <w:rFonts w:ascii="Arial" w:hAnsi="Arial" w:cs="Arial"/>
                <w:b/>
                <w:bCs/>
                <w:i/>
                <w:iCs/>
                <w:color w:val="FF0000"/>
              </w:rPr>
            </w:pPr>
            <w:r>
              <w:rPr>
                <w:rFonts w:ascii="Arial" w:hAnsi="Arial" w:cs="Arial"/>
                <w:b/>
                <w:bCs/>
                <w:i/>
                <w:iCs/>
                <w:color w:val="FF0000"/>
              </w:rPr>
              <w:t>1.957.378,02</w:t>
            </w:r>
          </w:p>
        </w:tc>
        <w:tc>
          <w:tcPr>
            <w:tcW w:w="2200" w:type="dxa"/>
            <w:tcBorders>
              <w:top w:val="nil"/>
              <w:left w:val="nil"/>
              <w:bottom w:val="nil"/>
              <w:right w:val="nil"/>
            </w:tcBorders>
            <w:shd w:val="clear" w:color="auto" w:fill="auto"/>
            <w:noWrap/>
            <w:vAlign w:val="bottom"/>
            <w:hideMark/>
          </w:tcPr>
          <w:p w:rsidR="00D64F30" w:rsidRDefault="00D64F30">
            <w:pPr>
              <w:jc w:val="center"/>
              <w:rPr>
                <w:rFonts w:ascii="Arial" w:hAnsi="Arial" w:cs="Arial"/>
                <w:b/>
                <w:bCs/>
                <w:i/>
                <w:iCs/>
                <w:color w:val="993300"/>
              </w:rPr>
            </w:pPr>
            <w:r>
              <w:rPr>
                <w:rFonts w:ascii="Arial" w:hAnsi="Arial" w:cs="Arial"/>
                <w:b/>
                <w:bCs/>
                <w:i/>
                <w:iCs/>
                <w:color w:val="993300"/>
              </w:rPr>
              <w:t>62,63</w:t>
            </w:r>
          </w:p>
        </w:tc>
        <w:tc>
          <w:tcPr>
            <w:tcW w:w="1272" w:type="dxa"/>
            <w:tcBorders>
              <w:top w:val="nil"/>
              <w:left w:val="nil"/>
              <w:bottom w:val="nil"/>
              <w:right w:val="nil"/>
            </w:tcBorders>
            <w:shd w:val="clear" w:color="auto" w:fill="auto"/>
            <w:noWrap/>
            <w:vAlign w:val="bottom"/>
            <w:hideMark/>
          </w:tcPr>
          <w:p w:rsidR="00D64F30" w:rsidRDefault="00D64F30">
            <w:pPr>
              <w:jc w:val="center"/>
              <w:rPr>
                <w:rFonts w:ascii="Arial" w:hAnsi="Arial" w:cs="Arial"/>
                <w:b/>
                <w:bCs/>
                <w:i/>
                <w:iCs/>
                <w:color w:val="0000FF"/>
              </w:rPr>
            </w:pPr>
            <w:r>
              <w:rPr>
                <w:rFonts w:ascii="Arial" w:hAnsi="Arial" w:cs="Arial"/>
                <w:b/>
                <w:bCs/>
                <w:i/>
                <w:iCs/>
                <w:color w:val="0000FF"/>
              </w:rPr>
              <w:t>100,00</w:t>
            </w:r>
          </w:p>
        </w:tc>
      </w:tr>
      <w:tr w:rsidR="00D64F30" w:rsidTr="00D64F30">
        <w:trPr>
          <w:trHeight w:val="322"/>
        </w:trPr>
        <w:tc>
          <w:tcPr>
            <w:tcW w:w="621" w:type="dxa"/>
            <w:vMerge w:val="restart"/>
            <w:tcBorders>
              <w:top w:val="nil"/>
              <w:left w:val="nil"/>
              <w:bottom w:val="nil"/>
              <w:right w:val="nil"/>
            </w:tcBorders>
            <w:shd w:val="clear" w:color="auto" w:fill="auto"/>
            <w:vAlign w:val="center"/>
            <w:hideMark/>
          </w:tcPr>
          <w:p w:rsidR="00D64F30" w:rsidRDefault="00D64F30">
            <w:pPr>
              <w:jc w:val="center"/>
              <w:rPr>
                <w:rFonts w:ascii="Arial" w:hAnsi="Arial" w:cs="Arial"/>
                <w:b/>
                <w:bCs/>
                <w:sz w:val="28"/>
                <w:szCs w:val="28"/>
              </w:rPr>
            </w:pPr>
            <w:r>
              <w:rPr>
                <w:rFonts w:ascii="Arial" w:hAnsi="Arial" w:cs="Arial"/>
                <w:b/>
                <w:bCs/>
                <w:sz w:val="28"/>
                <w:szCs w:val="28"/>
              </w:rPr>
              <w:t>RB</w:t>
            </w:r>
          </w:p>
        </w:tc>
        <w:tc>
          <w:tcPr>
            <w:tcW w:w="1898" w:type="dxa"/>
            <w:gridSpan w:val="2"/>
            <w:vMerge w:val="restart"/>
            <w:tcBorders>
              <w:top w:val="nil"/>
              <w:left w:val="nil"/>
              <w:bottom w:val="nil"/>
              <w:right w:val="nil"/>
            </w:tcBorders>
            <w:shd w:val="clear" w:color="auto" w:fill="auto"/>
            <w:vAlign w:val="center"/>
            <w:hideMark/>
          </w:tcPr>
          <w:p w:rsidR="00D64F30" w:rsidRDefault="00D64F30">
            <w:pPr>
              <w:jc w:val="center"/>
              <w:rPr>
                <w:rFonts w:ascii="Arial" w:hAnsi="Arial" w:cs="Arial"/>
                <w:b/>
                <w:bCs/>
                <w:sz w:val="22"/>
                <w:szCs w:val="22"/>
              </w:rPr>
            </w:pPr>
            <w:r>
              <w:rPr>
                <w:rFonts w:ascii="Arial" w:hAnsi="Arial" w:cs="Arial"/>
                <w:b/>
                <w:bCs/>
                <w:sz w:val="22"/>
                <w:szCs w:val="22"/>
              </w:rPr>
              <w:t>Prisutni  na SKUPŠTINI</w:t>
            </w:r>
          </w:p>
        </w:tc>
        <w:tc>
          <w:tcPr>
            <w:tcW w:w="1618" w:type="dxa"/>
            <w:vMerge w:val="restart"/>
            <w:tcBorders>
              <w:top w:val="nil"/>
              <w:left w:val="nil"/>
              <w:bottom w:val="nil"/>
              <w:right w:val="nil"/>
            </w:tcBorders>
            <w:shd w:val="clear" w:color="auto" w:fill="auto"/>
            <w:vAlign w:val="center"/>
            <w:hideMark/>
          </w:tcPr>
          <w:p w:rsidR="00D64F30" w:rsidRDefault="00D64F30">
            <w:pPr>
              <w:jc w:val="center"/>
              <w:rPr>
                <w:rFonts w:ascii="Arial" w:hAnsi="Arial" w:cs="Arial"/>
                <w:b/>
                <w:bCs/>
                <w:color w:val="FF0000"/>
                <w:sz w:val="28"/>
                <w:szCs w:val="28"/>
              </w:rPr>
            </w:pPr>
            <w:r>
              <w:rPr>
                <w:rFonts w:ascii="Arial" w:hAnsi="Arial" w:cs="Arial"/>
                <w:b/>
                <w:bCs/>
                <w:color w:val="FF0000"/>
                <w:sz w:val="28"/>
                <w:szCs w:val="28"/>
              </w:rPr>
              <w:t>Tražbina</w:t>
            </w:r>
          </w:p>
        </w:tc>
        <w:tc>
          <w:tcPr>
            <w:tcW w:w="2200" w:type="dxa"/>
            <w:vMerge w:val="restart"/>
            <w:tcBorders>
              <w:top w:val="nil"/>
              <w:left w:val="nil"/>
              <w:bottom w:val="nil"/>
              <w:right w:val="nil"/>
            </w:tcBorders>
            <w:shd w:val="clear" w:color="auto" w:fill="auto"/>
            <w:vAlign w:val="center"/>
            <w:hideMark/>
          </w:tcPr>
          <w:p w:rsidR="00D64F30" w:rsidRDefault="00D64F30">
            <w:pPr>
              <w:jc w:val="center"/>
              <w:rPr>
                <w:rFonts w:ascii="Arial" w:hAnsi="Arial" w:cs="Arial"/>
                <w:b/>
                <w:bCs/>
                <w:color w:val="993300"/>
                <w:sz w:val="28"/>
                <w:szCs w:val="28"/>
              </w:rPr>
            </w:pPr>
            <w:r>
              <w:rPr>
                <w:rFonts w:ascii="Arial" w:hAnsi="Arial" w:cs="Arial"/>
                <w:b/>
                <w:bCs/>
                <w:color w:val="993300"/>
                <w:sz w:val="28"/>
                <w:szCs w:val="28"/>
              </w:rPr>
              <w:t>Postotak</w:t>
            </w:r>
          </w:p>
        </w:tc>
        <w:tc>
          <w:tcPr>
            <w:tcW w:w="1272" w:type="dxa"/>
            <w:vMerge w:val="restart"/>
            <w:tcBorders>
              <w:top w:val="nil"/>
              <w:left w:val="nil"/>
              <w:bottom w:val="nil"/>
              <w:right w:val="nil"/>
            </w:tcBorders>
            <w:shd w:val="clear" w:color="auto" w:fill="auto"/>
            <w:vAlign w:val="center"/>
            <w:hideMark/>
          </w:tcPr>
          <w:p w:rsidR="00D64F30" w:rsidRDefault="00D64F30">
            <w:pPr>
              <w:jc w:val="center"/>
              <w:rPr>
                <w:rFonts w:ascii="Arial" w:hAnsi="Arial" w:cs="Arial"/>
                <w:color w:val="0000FF"/>
                <w:sz w:val="20"/>
                <w:szCs w:val="20"/>
              </w:rPr>
            </w:pPr>
            <w:r>
              <w:rPr>
                <w:rFonts w:ascii="Arial" w:hAnsi="Arial" w:cs="Arial"/>
                <w:color w:val="0000FF"/>
                <w:sz w:val="20"/>
                <w:szCs w:val="20"/>
              </w:rPr>
              <w:t>Glasovi  na SKUPŠTINI</w:t>
            </w:r>
          </w:p>
        </w:tc>
      </w:tr>
      <w:tr w:rsidR="00D64F30" w:rsidTr="00D64F30">
        <w:trPr>
          <w:trHeight w:val="480"/>
        </w:trPr>
        <w:tc>
          <w:tcPr>
            <w:tcW w:w="621" w:type="dxa"/>
            <w:vMerge/>
            <w:tcBorders>
              <w:top w:val="nil"/>
              <w:left w:val="nil"/>
              <w:bottom w:val="nil"/>
              <w:right w:val="nil"/>
            </w:tcBorders>
            <w:vAlign w:val="center"/>
            <w:hideMark/>
          </w:tcPr>
          <w:p w:rsidR="00D64F30" w:rsidRDefault="00D64F30">
            <w:pPr>
              <w:rPr>
                <w:rFonts w:ascii="Arial" w:hAnsi="Arial" w:cs="Arial"/>
                <w:b/>
                <w:bCs/>
                <w:sz w:val="28"/>
                <w:szCs w:val="28"/>
              </w:rPr>
            </w:pPr>
          </w:p>
        </w:tc>
        <w:tc>
          <w:tcPr>
            <w:tcW w:w="1898" w:type="dxa"/>
            <w:gridSpan w:val="2"/>
            <w:vMerge/>
            <w:tcBorders>
              <w:top w:val="nil"/>
              <w:left w:val="nil"/>
              <w:bottom w:val="nil"/>
              <w:right w:val="nil"/>
            </w:tcBorders>
            <w:vAlign w:val="center"/>
            <w:hideMark/>
          </w:tcPr>
          <w:p w:rsidR="00D64F30" w:rsidRDefault="00D64F30">
            <w:pPr>
              <w:rPr>
                <w:rFonts w:ascii="Arial" w:hAnsi="Arial" w:cs="Arial"/>
                <w:b/>
                <w:bCs/>
                <w:sz w:val="22"/>
                <w:szCs w:val="22"/>
              </w:rPr>
            </w:pPr>
          </w:p>
        </w:tc>
        <w:tc>
          <w:tcPr>
            <w:tcW w:w="1618" w:type="dxa"/>
            <w:vMerge/>
            <w:tcBorders>
              <w:top w:val="nil"/>
              <w:left w:val="nil"/>
              <w:bottom w:val="nil"/>
              <w:right w:val="nil"/>
            </w:tcBorders>
            <w:vAlign w:val="center"/>
            <w:hideMark/>
          </w:tcPr>
          <w:p w:rsidR="00D64F30" w:rsidRDefault="00D64F30">
            <w:pPr>
              <w:rPr>
                <w:rFonts w:ascii="Arial" w:hAnsi="Arial" w:cs="Arial"/>
                <w:b/>
                <w:bCs/>
                <w:color w:val="FF0000"/>
                <w:sz w:val="28"/>
                <w:szCs w:val="28"/>
              </w:rPr>
            </w:pPr>
          </w:p>
        </w:tc>
        <w:tc>
          <w:tcPr>
            <w:tcW w:w="2200" w:type="dxa"/>
            <w:vMerge/>
            <w:tcBorders>
              <w:top w:val="nil"/>
              <w:left w:val="nil"/>
              <w:bottom w:val="nil"/>
              <w:right w:val="nil"/>
            </w:tcBorders>
            <w:vAlign w:val="center"/>
            <w:hideMark/>
          </w:tcPr>
          <w:p w:rsidR="00D64F30" w:rsidRDefault="00D64F30">
            <w:pPr>
              <w:rPr>
                <w:rFonts w:ascii="Arial" w:hAnsi="Arial" w:cs="Arial"/>
                <w:b/>
                <w:bCs/>
                <w:color w:val="993300"/>
                <w:sz w:val="28"/>
                <w:szCs w:val="28"/>
              </w:rPr>
            </w:pPr>
          </w:p>
        </w:tc>
        <w:tc>
          <w:tcPr>
            <w:tcW w:w="1272" w:type="dxa"/>
            <w:vMerge/>
            <w:tcBorders>
              <w:top w:val="nil"/>
              <w:left w:val="nil"/>
              <w:bottom w:val="nil"/>
              <w:right w:val="nil"/>
            </w:tcBorders>
            <w:vAlign w:val="center"/>
            <w:hideMark/>
          </w:tcPr>
          <w:p w:rsidR="00D64F30" w:rsidRDefault="00D64F30">
            <w:pPr>
              <w:rPr>
                <w:rFonts w:ascii="Arial" w:hAnsi="Arial" w:cs="Arial"/>
                <w:color w:val="0000FF"/>
                <w:sz w:val="20"/>
                <w:szCs w:val="20"/>
              </w:rPr>
            </w:pPr>
          </w:p>
        </w:tc>
      </w:tr>
      <w:tr w:rsidR="00D64F30" w:rsidTr="00D64F30">
        <w:trPr>
          <w:trHeight w:val="315"/>
        </w:trPr>
        <w:tc>
          <w:tcPr>
            <w:tcW w:w="621" w:type="dxa"/>
            <w:tcBorders>
              <w:top w:val="nil"/>
              <w:left w:val="nil"/>
              <w:bottom w:val="nil"/>
              <w:right w:val="nil"/>
            </w:tcBorders>
            <w:shd w:val="clear" w:color="auto" w:fill="auto"/>
            <w:noWrap/>
            <w:vAlign w:val="bottom"/>
            <w:hideMark/>
          </w:tcPr>
          <w:p w:rsidR="00D64F30" w:rsidRDefault="00D64F30">
            <w:pPr>
              <w:jc w:val="right"/>
              <w:rPr>
                <w:rFonts w:ascii="Arial" w:hAnsi="Arial" w:cs="Arial"/>
                <w:sz w:val="20"/>
                <w:szCs w:val="20"/>
              </w:rPr>
            </w:pPr>
            <w:r>
              <w:rPr>
                <w:rFonts w:ascii="Arial" w:hAnsi="Arial" w:cs="Arial"/>
                <w:sz w:val="20"/>
                <w:szCs w:val="20"/>
              </w:rPr>
              <w:t>1</w:t>
            </w:r>
          </w:p>
        </w:tc>
        <w:tc>
          <w:tcPr>
            <w:tcW w:w="1898" w:type="dxa"/>
            <w:gridSpan w:val="2"/>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r>
              <w:rPr>
                <w:rFonts w:ascii="Arial" w:hAnsi="Arial" w:cs="Arial"/>
                <w:sz w:val="20"/>
                <w:szCs w:val="20"/>
              </w:rPr>
              <w:t>OTP</w:t>
            </w:r>
          </w:p>
        </w:tc>
        <w:tc>
          <w:tcPr>
            <w:tcW w:w="1618" w:type="dxa"/>
            <w:tcBorders>
              <w:top w:val="nil"/>
              <w:left w:val="nil"/>
              <w:bottom w:val="nil"/>
              <w:right w:val="nil"/>
            </w:tcBorders>
            <w:shd w:val="clear" w:color="auto" w:fill="auto"/>
            <w:noWrap/>
            <w:vAlign w:val="bottom"/>
            <w:hideMark/>
          </w:tcPr>
          <w:p w:rsidR="00D64F30" w:rsidRDefault="00D64F30">
            <w:pPr>
              <w:jc w:val="right"/>
            </w:pPr>
            <w:r>
              <w:t>1.536.500,39</w:t>
            </w:r>
          </w:p>
        </w:tc>
        <w:tc>
          <w:tcPr>
            <w:tcW w:w="2200" w:type="dxa"/>
            <w:tcBorders>
              <w:top w:val="nil"/>
              <w:left w:val="nil"/>
              <w:bottom w:val="nil"/>
              <w:right w:val="nil"/>
            </w:tcBorders>
            <w:shd w:val="clear" w:color="auto" w:fill="auto"/>
            <w:noWrap/>
            <w:vAlign w:val="bottom"/>
            <w:hideMark/>
          </w:tcPr>
          <w:p w:rsidR="00D64F30" w:rsidRDefault="00D64F30">
            <w:pPr>
              <w:jc w:val="center"/>
              <w:rPr>
                <w:rFonts w:ascii="Arial" w:hAnsi="Arial" w:cs="Arial"/>
                <w:sz w:val="20"/>
                <w:szCs w:val="20"/>
              </w:rPr>
            </w:pPr>
            <w:r>
              <w:rPr>
                <w:rFonts w:ascii="Arial" w:hAnsi="Arial" w:cs="Arial"/>
                <w:sz w:val="20"/>
                <w:szCs w:val="20"/>
              </w:rPr>
              <w:t>49,16</w:t>
            </w:r>
          </w:p>
        </w:tc>
        <w:tc>
          <w:tcPr>
            <w:tcW w:w="1272" w:type="dxa"/>
            <w:tcBorders>
              <w:top w:val="nil"/>
              <w:left w:val="nil"/>
              <w:bottom w:val="nil"/>
              <w:right w:val="nil"/>
            </w:tcBorders>
            <w:shd w:val="clear" w:color="auto" w:fill="auto"/>
            <w:noWrap/>
            <w:vAlign w:val="bottom"/>
            <w:hideMark/>
          </w:tcPr>
          <w:p w:rsidR="00D64F30" w:rsidRDefault="00D64F30">
            <w:pPr>
              <w:jc w:val="center"/>
              <w:rPr>
                <w:rFonts w:ascii="Arial" w:hAnsi="Arial" w:cs="Arial"/>
                <w:sz w:val="20"/>
                <w:szCs w:val="20"/>
              </w:rPr>
            </w:pPr>
            <w:r>
              <w:rPr>
                <w:rFonts w:ascii="Arial" w:hAnsi="Arial" w:cs="Arial"/>
                <w:sz w:val="20"/>
                <w:szCs w:val="20"/>
              </w:rPr>
              <w:t>78,50</w:t>
            </w:r>
          </w:p>
        </w:tc>
      </w:tr>
      <w:tr w:rsidR="00D64F30" w:rsidTr="00D64F30">
        <w:trPr>
          <w:trHeight w:val="255"/>
        </w:trPr>
        <w:tc>
          <w:tcPr>
            <w:tcW w:w="621" w:type="dxa"/>
            <w:tcBorders>
              <w:top w:val="nil"/>
              <w:left w:val="nil"/>
              <w:bottom w:val="nil"/>
              <w:right w:val="nil"/>
            </w:tcBorders>
            <w:shd w:val="clear" w:color="auto" w:fill="auto"/>
            <w:noWrap/>
            <w:vAlign w:val="bottom"/>
            <w:hideMark/>
          </w:tcPr>
          <w:p w:rsidR="00D64F30" w:rsidRDefault="00D64F30">
            <w:pPr>
              <w:jc w:val="right"/>
              <w:rPr>
                <w:rFonts w:ascii="Arial" w:hAnsi="Arial" w:cs="Arial"/>
                <w:sz w:val="20"/>
                <w:szCs w:val="20"/>
              </w:rPr>
            </w:pPr>
            <w:r>
              <w:rPr>
                <w:rFonts w:ascii="Arial" w:hAnsi="Arial" w:cs="Arial"/>
                <w:sz w:val="20"/>
                <w:szCs w:val="20"/>
              </w:rPr>
              <w:t>2</w:t>
            </w:r>
          </w:p>
        </w:tc>
        <w:tc>
          <w:tcPr>
            <w:tcW w:w="1898" w:type="dxa"/>
            <w:gridSpan w:val="2"/>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r>
              <w:rPr>
                <w:rFonts w:ascii="Arial" w:hAnsi="Arial" w:cs="Arial"/>
                <w:sz w:val="20"/>
                <w:szCs w:val="20"/>
              </w:rPr>
              <w:t>IVAN KOLOPER</w:t>
            </w:r>
          </w:p>
        </w:tc>
        <w:tc>
          <w:tcPr>
            <w:tcW w:w="1618" w:type="dxa"/>
            <w:tcBorders>
              <w:top w:val="nil"/>
              <w:left w:val="nil"/>
              <w:bottom w:val="nil"/>
              <w:right w:val="nil"/>
            </w:tcBorders>
            <w:shd w:val="clear" w:color="auto" w:fill="auto"/>
            <w:noWrap/>
            <w:vAlign w:val="bottom"/>
            <w:hideMark/>
          </w:tcPr>
          <w:p w:rsidR="00D64F30" w:rsidRDefault="00D64F30">
            <w:pPr>
              <w:jc w:val="right"/>
              <w:rPr>
                <w:rFonts w:ascii="Arial" w:hAnsi="Arial" w:cs="Arial"/>
                <w:sz w:val="20"/>
                <w:szCs w:val="20"/>
              </w:rPr>
            </w:pPr>
            <w:r>
              <w:rPr>
                <w:rFonts w:ascii="Arial" w:hAnsi="Arial" w:cs="Arial"/>
                <w:sz w:val="20"/>
                <w:szCs w:val="20"/>
              </w:rPr>
              <w:t>50.000,00</w:t>
            </w:r>
          </w:p>
        </w:tc>
        <w:tc>
          <w:tcPr>
            <w:tcW w:w="2200" w:type="dxa"/>
            <w:tcBorders>
              <w:top w:val="nil"/>
              <w:left w:val="nil"/>
              <w:bottom w:val="nil"/>
              <w:right w:val="nil"/>
            </w:tcBorders>
            <w:shd w:val="clear" w:color="auto" w:fill="auto"/>
            <w:noWrap/>
            <w:vAlign w:val="bottom"/>
            <w:hideMark/>
          </w:tcPr>
          <w:p w:rsidR="00D64F30" w:rsidRDefault="00D64F30">
            <w:pPr>
              <w:jc w:val="center"/>
              <w:rPr>
                <w:rFonts w:ascii="Arial" w:hAnsi="Arial" w:cs="Arial"/>
                <w:sz w:val="20"/>
                <w:szCs w:val="20"/>
              </w:rPr>
            </w:pPr>
            <w:r>
              <w:rPr>
                <w:rFonts w:ascii="Arial" w:hAnsi="Arial" w:cs="Arial"/>
                <w:sz w:val="20"/>
                <w:szCs w:val="20"/>
              </w:rPr>
              <w:t>1,60</w:t>
            </w:r>
          </w:p>
        </w:tc>
        <w:tc>
          <w:tcPr>
            <w:tcW w:w="1272" w:type="dxa"/>
            <w:tcBorders>
              <w:top w:val="nil"/>
              <w:left w:val="nil"/>
              <w:bottom w:val="nil"/>
              <w:right w:val="nil"/>
            </w:tcBorders>
            <w:shd w:val="clear" w:color="auto" w:fill="auto"/>
            <w:noWrap/>
            <w:vAlign w:val="bottom"/>
            <w:hideMark/>
          </w:tcPr>
          <w:p w:rsidR="00D64F30" w:rsidRDefault="00D64F30">
            <w:pPr>
              <w:jc w:val="center"/>
              <w:rPr>
                <w:rFonts w:ascii="Arial" w:hAnsi="Arial" w:cs="Arial"/>
                <w:sz w:val="20"/>
                <w:szCs w:val="20"/>
              </w:rPr>
            </w:pPr>
            <w:r>
              <w:rPr>
                <w:rFonts w:ascii="Arial" w:hAnsi="Arial" w:cs="Arial"/>
                <w:sz w:val="20"/>
                <w:szCs w:val="20"/>
              </w:rPr>
              <w:t>2,55</w:t>
            </w:r>
          </w:p>
        </w:tc>
      </w:tr>
      <w:tr w:rsidR="00D64F30" w:rsidTr="00D64F30">
        <w:trPr>
          <w:trHeight w:val="255"/>
        </w:trPr>
        <w:tc>
          <w:tcPr>
            <w:tcW w:w="621" w:type="dxa"/>
            <w:tcBorders>
              <w:top w:val="nil"/>
              <w:left w:val="nil"/>
              <w:bottom w:val="nil"/>
              <w:right w:val="nil"/>
            </w:tcBorders>
            <w:shd w:val="clear" w:color="auto" w:fill="auto"/>
            <w:noWrap/>
            <w:vAlign w:val="bottom"/>
            <w:hideMark/>
          </w:tcPr>
          <w:p w:rsidR="00D64F30" w:rsidRDefault="00D64F30">
            <w:pPr>
              <w:jc w:val="right"/>
              <w:rPr>
                <w:rFonts w:ascii="Arial" w:hAnsi="Arial" w:cs="Arial"/>
                <w:sz w:val="20"/>
                <w:szCs w:val="20"/>
              </w:rPr>
            </w:pPr>
            <w:r>
              <w:rPr>
                <w:rFonts w:ascii="Arial" w:hAnsi="Arial" w:cs="Arial"/>
                <w:sz w:val="20"/>
                <w:szCs w:val="20"/>
              </w:rPr>
              <w:t>3</w:t>
            </w:r>
          </w:p>
        </w:tc>
        <w:tc>
          <w:tcPr>
            <w:tcW w:w="1898" w:type="dxa"/>
            <w:gridSpan w:val="2"/>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r>
              <w:rPr>
                <w:rFonts w:ascii="Arial" w:hAnsi="Arial" w:cs="Arial"/>
                <w:sz w:val="20"/>
                <w:szCs w:val="20"/>
              </w:rPr>
              <w:t>ANTE KOLOPER</w:t>
            </w:r>
          </w:p>
        </w:tc>
        <w:tc>
          <w:tcPr>
            <w:tcW w:w="1618" w:type="dxa"/>
            <w:tcBorders>
              <w:top w:val="nil"/>
              <w:left w:val="nil"/>
              <w:bottom w:val="nil"/>
              <w:right w:val="nil"/>
            </w:tcBorders>
            <w:shd w:val="clear" w:color="auto" w:fill="auto"/>
            <w:noWrap/>
            <w:vAlign w:val="bottom"/>
            <w:hideMark/>
          </w:tcPr>
          <w:p w:rsidR="00D64F30" w:rsidRDefault="00D64F30">
            <w:pPr>
              <w:jc w:val="right"/>
              <w:rPr>
                <w:rFonts w:ascii="Arial" w:hAnsi="Arial" w:cs="Arial"/>
                <w:sz w:val="20"/>
                <w:szCs w:val="20"/>
              </w:rPr>
            </w:pPr>
            <w:r>
              <w:rPr>
                <w:rFonts w:ascii="Arial" w:hAnsi="Arial" w:cs="Arial"/>
                <w:sz w:val="20"/>
                <w:szCs w:val="20"/>
              </w:rPr>
              <w:t>45.000,00</w:t>
            </w:r>
          </w:p>
        </w:tc>
        <w:tc>
          <w:tcPr>
            <w:tcW w:w="2200" w:type="dxa"/>
            <w:tcBorders>
              <w:top w:val="nil"/>
              <w:left w:val="nil"/>
              <w:bottom w:val="nil"/>
              <w:right w:val="nil"/>
            </w:tcBorders>
            <w:shd w:val="clear" w:color="auto" w:fill="auto"/>
            <w:noWrap/>
            <w:vAlign w:val="bottom"/>
            <w:hideMark/>
          </w:tcPr>
          <w:p w:rsidR="00D64F30" w:rsidRDefault="00D64F30">
            <w:pPr>
              <w:jc w:val="center"/>
              <w:rPr>
                <w:rFonts w:ascii="Arial" w:hAnsi="Arial" w:cs="Arial"/>
                <w:sz w:val="20"/>
                <w:szCs w:val="20"/>
              </w:rPr>
            </w:pPr>
            <w:r>
              <w:rPr>
                <w:rFonts w:ascii="Arial" w:hAnsi="Arial" w:cs="Arial"/>
                <w:sz w:val="20"/>
                <w:szCs w:val="20"/>
              </w:rPr>
              <w:t>1,44</w:t>
            </w:r>
          </w:p>
        </w:tc>
        <w:tc>
          <w:tcPr>
            <w:tcW w:w="1272" w:type="dxa"/>
            <w:tcBorders>
              <w:top w:val="nil"/>
              <w:left w:val="nil"/>
              <w:bottom w:val="nil"/>
              <w:right w:val="nil"/>
            </w:tcBorders>
            <w:shd w:val="clear" w:color="auto" w:fill="auto"/>
            <w:noWrap/>
            <w:vAlign w:val="bottom"/>
            <w:hideMark/>
          </w:tcPr>
          <w:p w:rsidR="00D64F30" w:rsidRDefault="00D64F30">
            <w:pPr>
              <w:jc w:val="center"/>
              <w:rPr>
                <w:rFonts w:ascii="Arial" w:hAnsi="Arial" w:cs="Arial"/>
                <w:sz w:val="20"/>
                <w:szCs w:val="20"/>
              </w:rPr>
            </w:pPr>
            <w:r>
              <w:rPr>
                <w:rFonts w:ascii="Arial" w:hAnsi="Arial" w:cs="Arial"/>
                <w:sz w:val="20"/>
                <w:szCs w:val="20"/>
              </w:rPr>
              <w:t>2,30</w:t>
            </w:r>
          </w:p>
        </w:tc>
      </w:tr>
      <w:tr w:rsidR="00D64F30" w:rsidTr="00D64F30">
        <w:trPr>
          <w:trHeight w:val="255"/>
        </w:trPr>
        <w:tc>
          <w:tcPr>
            <w:tcW w:w="621" w:type="dxa"/>
            <w:tcBorders>
              <w:top w:val="nil"/>
              <w:left w:val="nil"/>
              <w:bottom w:val="nil"/>
              <w:right w:val="nil"/>
            </w:tcBorders>
            <w:shd w:val="clear" w:color="auto" w:fill="auto"/>
            <w:noWrap/>
            <w:vAlign w:val="bottom"/>
            <w:hideMark/>
          </w:tcPr>
          <w:p w:rsidR="00D64F30" w:rsidRDefault="00D64F30">
            <w:pPr>
              <w:jc w:val="right"/>
              <w:rPr>
                <w:rFonts w:ascii="Arial" w:hAnsi="Arial" w:cs="Arial"/>
                <w:sz w:val="20"/>
                <w:szCs w:val="20"/>
              </w:rPr>
            </w:pPr>
            <w:r>
              <w:rPr>
                <w:rFonts w:ascii="Arial" w:hAnsi="Arial" w:cs="Arial"/>
                <w:sz w:val="20"/>
                <w:szCs w:val="20"/>
              </w:rPr>
              <w:t>4</w:t>
            </w:r>
          </w:p>
        </w:tc>
        <w:tc>
          <w:tcPr>
            <w:tcW w:w="1898" w:type="dxa"/>
            <w:gridSpan w:val="2"/>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r>
              <w:rPr>
                <w:rFonts w:ascii="Arial" w:hAnsi="Arial" w:cs="Arial"/>
                <w:sz w:val="20"/>
                <w:szCs w:val="20"/>
              </w:rPr>
              <w:t>BRANKO KOLOPER</w:t>
            </w:r>
          </w:p>
        </w:tc>
        <w:tc>
          <w:tcPr>
            <w:tcW w:w="1618" w:type="dxa"/>
            <w:tcBorders>
              <w:top w:val="nil"/>
              <w:left w:val="nil"/>
              <w:bottom w:val="nil"/>
              <w:right w:val="nil"/>
            </w:tcBorders>
            <w:shd w:val="clear" w:color="auto" w:fill="auto"/>
            <w:noWrap/>
            <w:vAlign w:val="bottom"/>
            <w:hideMark/>
          </w:tcPr>
          <w:p w:rsidR="00D64F30" w:rsidRDefault="00D64F30">
            <w:pPr>
              <w:jc w:val="right"/>
              <w:rPr>
                <w:rFonts w:ascii="Arial" w:hAnsi="Arial" w:cs="Arial"/>
                <w:sz w:val="20"/>
                <w:szCs w:val="20"/>
              </w:rPr>
            </w:pPr>
            <w:r>
              <w:rPr>
                <w:rFonts w:ascii="Arial" w:hAnsi="Arial" w:cs="Arial"/>
                <w:sz w:val="20"/>
                <w:szCs w:val="20"/>
              </w:rPr>
              <w:t>46.770,40</w:t>
            </w:r>
          </w:p>
        </w:tc>
        <w:tc>
          <w:tcPr>
            <w:tcW w:w="2200" w:type="dxa"/>
            <w:tcBorders>
              <w:top w:val="nil"/>
              <w:left w:val="nil"/>
              <w:bottom w:val="nil"/>
              <w:right w:val="nil"/>
            </w:tcBorders>
            <w:shd w:val="clear" w:color="auto" w:fill="auto"/>
            <w:noWrap/>
            <w:vAlign w:val="bottom"/>
            <w:hideMark/>
          </w:tcPr>
          <w:p w:rsidR="00D64F30" w:rsidRDefault="00D64F30">
            <w:pPr>
              <w:jc w:val="center"/>
              <w:rPr>
                <w:rFonts w:ascii="Arial" w:hAnsi="Arial" w:cs="Arial"/>
                <w:sz w:val="20"/>
                <w:szCs w:val="20"/>
              </w:rPr>
            </w:pPr>
            <w:r>
              <w:rPr>
                <w:rFonts w:ascii="Arial" w:hAnsi="Arial" w:cs="Arial"/>
                <w:sz w:val="20"/>
                <w:szCs w:val="20"/>
              </w:rPr>
              <w:t>1,50</w:t>
            </w:r>
          </w:p>
        </w:tc>
        <w:tc>
          <w:tcPr>
            <w:tcW w:w="1272" w:type="dxa"/>
            <w:tcBorders>
              <w:top w:val="nil"/>
              <w:left w:val="nil"/>
              <w:bottom w:val="nil"/>
              <w:right w:val="nil"/>
            </w:tcBorders>
            <w:shd w:val="clear" w:color="auto" w:fill="auto"/>
            <w:noWrap/>
            <w:vAlign w:val="bottom"/>
            <w:hideMark/>
          </w:tcPr>
          <w:p w:rsidR="00D64F30" w:rsidRDefault="00D64F30">
            <w:pPr>
              <w:jc w:val="center"/>
              <w:rPr>
                <w:rFonts w:ascii="Arial" w:hAnsi="Arial" w:cs="Arial"/>
                <w:sz w:val="20"/>
                <w:szCs w:val="20"/>
              </w:rPr>
            </w:pPr>
            <w:r>
              <w:rPr>
                <w:rFonts w:ascii="Arial" w:hAnsi="Arial" w:cs="Arial"/>
                <w:sz w:val="20"/>
                <w:szCs w:val="20"/>
              </w:rPr>
              <w:t>2,39</w:t>
            </w:r>
          </w:p>
        </w:tc>
      </w:tr>
      <w:tr w:rsidR="00D64F30" w:rsidTr="00D64F30">
        <w:trPr>
          <w:trHeight w:val="255"/>
        </w:trPr>
        <w:tc>
          <w:tcPr>
            <w:tcW w:w="621" w:type="dxa"/>
            <w:tcBorders>
              <w:top w:val="nil"/>
              <w:left w:val="nil"/>
              <w:bottom w:val="nil"/>
              <w:right w:val="nil"/>
            </w:tcBorders>
            <w:shd w:val="clear" w:color="auto" w:fill="auto"/>
            <w:noWrap/>
            <w:vAlign w:val="bottom"/>
            <w:hideMark/>
          </w:tcPr>
          <w:p w:rsidR="00D64F30" w:rsidRDefault="00D64F30">
            <w:pPr>
              <w:jc w:val="right"/>
              <w:rPr>
                <w:rFonts w:ascii="Arial" w:hAnsi="Arial" w:cs="Arial"/>
                <w:sz w:val="20"/>
                <w:szCs w:val="20"/>
              </w:rPr>
            </w:pPr>
            <w:r>
              <w:rPr>
                <w:rFonts w:ascii="Arial" w:hAnsi="Arial" w:cs="Arial"/>
                <w:sz w:val="20"/>
                <w:szCs w:val="20"/>
              </w:rPr>
              <w:t>5</w:t>
            </w:r>
          </w:p>
        </w:tc>
        <w:tc>
          <w:tcPr>
            <w:tcW w:w="1898" w:type="dxa"/>
            <w:gridSpan w:val="2"/>
            <w:tcBorders>
              <w:top w:val="nil"/>
              <w:left w:val="nil"/>
              <w:bottom w:val="nil"/>
              <w:right w:val="nil"/>
            </w:tcBorders>
            <w:shd w:val="clear" w:color="auto" w:fill="auto"/>
            <w:noWrap/>
            <w:vAlign w:val="bottom"/>
            <w:hideMark/>
          </w:tcPr>
          <w:p w:rsidR="00D64F30" w:rsidRDefault="00D64F30">
            <w:pPr>
              <w:rPr>
                <w:rFonts w:ascii="Arial" w:hAnsi="Arial" w:cs="Arial"/>
                <w:sz w:val="20"/>
                <w:szCs w:val="20"/>
              </w:rPr>
            </w:pPr>
            <w:r>
              <w:rPr>
                <w:rFonts w:ascii="Arial" w:hAnsi="Arial" w:cs="Arial"/>
                <w:sz w:val="20"/>
                <w:szCs w:val="20"/>
              </w:rPr>
              <w:t>PEKARA VIDICI</w:t>
            </w:r>
          </w:p>
        </w:tc>
        <w:tc>
          <w:tcPr>
            <w:tcW w:w="1618" w:type="dxa"/>
            <w:tcBorders>
              <w:top w:val="nil"/>
              <w:left w:val="nil"/>
              <w:bottom w:val="nil"/>
              <w:right w:val="nil"/>
            </w:tcBorders>
            <w:shd w:val="clear" w:color="auto" w:fill="auto"/>
            <w:noWrap/>
            <w:vAlign w:val="bottom"/>
            <w:hideMark/>
          </w:tcPr>
          <w:p w:rsidR="00D64F30" w:rsidRDefault="00D64F30">
            <w:pPr>
              <w:jc w:val="right"/>
              <w:rPr>
                <w:rFonts w:ascii="Arial" w:hAnsi="Arial" w:cs="Arial"/>
                <w:sz w:val="20"/>
                <w:szCs w:val="20"/>
              </w:rPr>
            </w:pPr>
            <w:r>
              <w:rPr>
                <w:rFonts w:ascii="Arial" w:hAnsi="Arial" w:cs="Arial"/>
                <w:sz w:val="20"/>
                <w:szCs w:val="20"/>
              </w:rPr>
              <w:t>279.107,23</w:t>
            </w:r>
          </w:p>
        </w:tc>
        <w:tc>
          <w:tcPr>
            <w:tcW w:w="2200" w:type="dxa"/>
            <w:tcBorders>
              <w:top w:val="nil"/>
              <w:left w:val="nil"/>
              <w:bottom w:val="nil"/>
              <w:right w:val="nil"/>
            </w:tcBorders>
            <w:shd w:val="clear" w:color="auto" w:fill="auto"/>
            <w:noWrap/>
            <w:vAlign w:val="bottom"/>
            <w:hideMark/>
          </w:tcPr>
          <w:p w:rsidR="00D64F30" w:rsidRDefault="00D64F30">
            <w:pPr>
              <w:jc w:val="center"/>
              <w:rPr>
                <w:rFonts w:ascii="Arial" w:hAnsi="Arial" w:cs="Arial"/>
                <w:sz w:val="20"/>
                <w:szCs w:val="20"/>
              </w:rPr>
            </w:pPr>
            <w:r>
              <w:rPr>
                <w:rFonts w:ascii="Arial" w:hAnsi="Arial" w:cs="Arial"/>
                <w:sz w:val="20"/>
                <w:szCs w:val="20"/>
              </w:rPr>
              <w:t>8,93</w:t>
            </w:r>
          </w:p>
        </w:tc>
        <w:tc>
          <w:tcPr>
            <w:tcW w:w="1272" w:type="dxa"/>
            <w:tcBorders>
              <w:top w:val="nil"/>
              <w:left w:val="nil"/>
              <w:bottom w:val="nil"/>
              <w:right w:val="nil"/>
            </w:tcBorders>
            <w:shd w:val="clear" w:color="auto" w:fill="auto"/>
            <w:noWrap/>
            <w:vAlign w:val="bottom"/>
            <w:hideMark/>
          </w:tcPr>
          <w:p w:rsidR="00D64F30" w:rsidRDefault="00D64F30">
            <w:pPr>
              <w:jc w:val="center"/>
              <w:rPr>
                <w:rFonts w:ascii="Arial" w:hAnsi="Arial" w:cs="Arial"/>
                <w:sz w:val="20"/>
                <w:szCs w:val="20"/>
              </w:rPr>
            </w:pPr>
            <w:r>
              <w:rPr>
                <w:rFonts w:ascii="Arial" w:hAnsi="Arial" w:cs="Arial"/>
                <w:sz w:val="20"/>
                <w:szCs w:val="20"/>
              </w:rPr>
              <w:t>14,26</w:t>
            </w:r>
          </w:p>
        </w:tc>
      </w:tr>
    </w:tbl>
    <w:p w:rsidR="00D64F30" w:rsidP="00F71208" w:rsidRDefault="00D64F30">
      <w:pPr>
        <w:jc w:val="both"/>
      </w:pPr>
    </w:p>
    <w:p w:rsidR="00D64F30" w:rsidP="00F71208" w:rsidRDefault="00D64F30">
      <w:pPr>
        <w:jc w:val="both"/>
      </w:pPr>
      <w:r>
        <w:t xml:space="preserve">Stečajna upraviteljica dalje navodi da je </w:t>
      </w:r>
      <w:r w:rsidR="003B1061">
        <w:t>za potrebno donijeti odluku o ponudi za pokretnine koje se nalaze u hali koja je prodana a koja iznosi 40.000,00 kuna, a koje pokretnine nisu opterećene zalogom.</w:t>
      </w:r>
    </w:p>
    <w:p w:rsidR="003B1061" w:rsidP="00F71208" w:rsidRDefault="003B1061">
      <w:pPr>
        <w:jc w:val="both"/>
      </w:pPr>
    </w:p>
    <w:p w:rsidR="003B1061" w:rsidP="00F71208" w:rsidRDefault="003B1061">
      <w:pPr>
        <w:jc w:val="both"/>
      </w:pPr>
      <w:r>
        <w:t xml:space="preserve">Branko Koloper ne slaže se sa prijedlogom odnosno ponudom koju je iznijela stečajna upraviteljica smatrajući da je ponuda preniska, da je riječ o vrijednim pokretninama koje bi mogle postići vrijednost između 500.000,00 i 1.000.000,00 kuna. Predlaže zato da se svaki pojedini predmet procijeni i proda prikupljanjem ponuda bilo zbirno bilo pojedinačno. </w:t>
      </w:r>
    </w:p>
    <w:p w:rsidR="003B1061" w:rsidP="00F71208" w:rsidRDefault="003B1061">
      <w:pPr>
        <w:jc w:val="both"/>
      </w:pPr>
    </w:p>
    <w:p w:rsidR="003B1061" w:rsidP="00F71208" w:rsidRDefault="003B1061">
      <w:pPr>
        <w:jc w:val="both"/>
      </w:pPr>
      <w:r>
        <w:t>Stečajna upraviteljica navodi da je riječ o raznovrsnim pokretninama što iziskuje i procjenitelje iz raznih područja, da je u svrhu procjene svih pokretnina dobila ponudu koja bi koštala oko 20.000,00 kuna što joj se učinilo visokim troškom postupka, pa procjena pokretnina nije izvršena.</w:t>
      </w:r>
    </w:p>
    <w:p w:rsidR="003B1061" w:rsidP="00F71208" w:rsidRDefault="003B1061">
      <w:pPr>
        <w:jc w:val="both"/>
      </w:pPr>
    </w:p>
    <w:p w:rsidR="003B1061" w:rsidP="00F71208" w:rsidRDefault="003B1061">
      <w:pPr>
        <w:jc w:val="both"/>
      </w:pPr>
      <w:r>
        <w:t>Punomoćnica OTP BANKE predlaže da se u svrhu procjene nekretnina pribavi nekoliko ponuda i da se prihvati najpovoljnija i da se procjena izvrši i nakon toga krene u unovčenje.</w:t>
      </w:r>
    </w:p>
    <w:p w:rsidR="003B1061" w:rsidP="00F71208" w:rsidRDefault="003B1061">
      <w:pPr>
        <w:jc w:val="both"/>
      </w:pPr>
    </w:p>
    <w:p w:rsidR="003B1061" w:rsidP="00F71208" w:rsidRDefault="003B1061">
      <w:pPr>
        <w:jc w:val="both"/>
      </w:pPr>
      <w:r>
        <w:t>Stečajna upraviteljica navodi da situaciju usložnjava i činjenica da je hala u kojoj su nekretnine u međuvremenu unovčena i da bi bilo potrebno čim prije unovčiti pokretnine.</w:t>
      </w:r>
    </w:p>
    <w:p w:rsidR="003B1061" w:rsidP="00F71208" w:rsidRDefault="003B1061">
      <w:pPr>
        <w:jc w:val="both"/>
      </w:pPr>
    </w:p>
    <w:p w:rsidR="00C70218" w:rsidP="00F71208" w:rsidRDefault="003B1061">
      <w:pPr>
        <w:jc w:val="both"/>
      </w:pPr>
      <w:r>
        <w:t>Branko Koloper navodi da bi se zbirno mogla prodati računala i uredska oprema koji vrijede 30.000,00 kuna</w:t>
      </w:r>
      <w:r w:rsidR="00C70218">
        <w:t>.</w:t>
      </w:r>
    </w:p>
    <w:p w:rsidR="00C70218" w:rsidP="00F71208" w:rsidRDefault="00C70218">
      <w:pPr>
        <w:jc w:val="both"/>
      </w:pPr>
    </w:p>
    <w:p w:rsidR="003B1061" w:rsidP="00F71208" w:rsidRDefault="00C70218">
      <w:pPr>
        <w:jc w:val="both"/>
      </w:pPr>
      <w:r>
        <w:t xml:space="preserve">Punomoćnica OTP BANKE predlaže da se prihvati prijedlog Branka Kolopera i da se procjena izvrši samo u odnosu na pokretnine koje služe proizvodnji pekarskih proizvoda. Dalje predlaže da se uredska oprema i računala prodaju na način da se </w:t>
      </w:r>
      <w:r w:rsidR="003B1061">
        <w:t xml:space="preserve"> </w:t>
      </w:r>
      <w:r>
        <w:t>prikupe pisane ponude stečajnoj upraviteljici te da se pri svakom novom pokušaju prodaje cijena snizi za 10% od zadnje oglašene cijene. Pokretnine koje služe proizvodnji pekarskih proizvoda bi se doista trebale procijeniti i prodavati istovremeno zbirno i pojedinačno s time da prednost ima kupac koji ponudi zbirnu kupnju, a da početna cijena bude ona utvrđena procjenom te da se pri svakom novom pokušaju prodaje ista smanjuje za 10% od prethodno oglašene cijene i to također prikupljanjem pisanih ponuda stečajnoj upraviteljici.</w:t>
      </w:r>
    </w:p>
    <w:p w:rsidR="00C70218" w:rsidP="00F71208" w:rsidRDefault="00C70218">
      <w:pPr>
        <w:jc w:val="both"/>
      </w:pPr>
    </w:p>
    <w:p w:rsidR="00C70218" w:rsidP="00F71208" w:rsidRDefault="00C70218">
      <w:pPr>
        <w:jc w:val="both"/>
      </w:pPr>
      <w:r>
        <w:t>Prijedlog punomoćnice OTP BANKE daje se na glasovanje.</w:t>
      </w:r>
    </w:p>
    <w:p w:rsidR="00C70218" w:rsidP="00F71208" w:rsidRDefault="00C70218">
      <w:pPr>
        <w:jc w:val="both"/>
      </w:pPr>
    </w:p>
    <w:p w:rsidR="00C70218" w:rsidP="00F71208" w:rsidRDefault="00C70218">
      <w:pPr>
        <w:jc w:val="both"/>
      </w:pPr>
      <w:r>
        <w:t>Za prijedlog glasuju svi nazočni vjerovnici.</w:t>
      </w:r>
    </w:p>
    <w:p w:rsidR="00C70218" w:rsidP="00F71208" w:rsidRDefault="00C70218">
      <w:pPr>
        <w:jc w:val="both"/>
      </w:pPr>
    </w:p>
    <w:p w:rsidR="00C70218" w:rsidP="00F71208" w:rsidRDefault="00C70218">
      <w:pPr>
        <w:jc w:val="both"/>
      </w:pPr>
      <w:r>
        <w:t>Sud utvrđuje da je donijeta odluka o unovčenju pokretnina stečajnog dužnika prema prijedlogu punomoćnice stečajne banke.</w:t>
      </w:r>
    </w:p>
    <w:p w:rsidR="00C70218" w:rsidP="00F71208" w:rsidRDefault="00C70218">
      <w:pPr>
        <w:jc w:val="both"/>
      </w:pPr>
    </w:p>
    <w:p w:rsidR="00C70218" w:rsidP="00F71208" w:rsidRDefault="00C70218">
      <w:pPr>
        <w:jc w:val="both"/>
      </w:pPr>
    </w:p>
    <w:p w:rsidR="00D00E49" w:rsidP="00F71208" w:rsidRDefault="00D00E49">
      <w:pPr>
        <w:jc w:val="both"/>
      </w:pPr>
    </w:p>
    <w:p w:rsidR="00D00E49" w:rsidP="00F71208" w:rsidRDefault="00D00E49">
      <w:pPr>
        <w:jc w:val="both"/>
      </w:pPr>
    </w:p>
    <w:p w:rsidR="00427FE8" w:rsidP="00427FE8" w:rsidRDefault="00427FE8">
      <w:pPr>
        <w:tabs>
          <w:tab w:val="left" w:pos="0"/>
          <w:tab w:val="left" w:pos="360"/>
        </w:tabs>
        <w:jc w:val="both"/>
      </w:pPr>
      <w:r>
        <w:t>Branko Koloper navodi da prema njegovom mišljenju Ministarstvo financija koje ima razlučno pravo na 5 nekretnine koje bi se trebalo prodavati ima neznatnu tražbinu prema stečajnom dužniku obzirom da se namirivalo prodajom 10 vozila koja su sva unovčena. Zato predlaže da prije donošenja zaključka o prodaji utvrdi da li je Republika Hrvatska podmirena, a nakon čega će se i odlučiti o načinu unovčenja.</w:t>
      </w:r>
    </w:p>
    <w:p w:rsidR="00427FE8" w:rsidP="00427FE8" w:rsidRDefault="00427FE8">
      <w:pPr>
        <w:tabs>
          <w:tab w:val="left" w:pos="0"/>
          <w:tab w:val="left" w:pos="360"/>
        </w:tabs>
        <w:jc w:val="both"/>
      </w:pPr>
    </w:p>
    <w:p w:rsidR="00427FE8" w:rsidP="00427FE8" w:rsidRDefault="00427FE8">
      <w:pPr>
        <w:tabs>
          <w:tab w:val="left" w:pos="0"/>
          <w:tab w:val="left" w:pos="360"/>
        </w:tabs>
        <w:jc w:val="both"/>
      </w:pPr>
      <w:r>
        <w:t>Punomoćnica OTP banke je suglasna s prijedlogom ovog vjerovnika.</w:t>
      </w:r>
    </w:p>
    <w:p w:rsidR="00427FE8" w:rsidP="00F96D5F" w:rsidRDefault="00427FE8">
      <w:pPr>
        <w:tabs>
          <w:tab w:val="left" w:pos="0"/>
          <w:tab w:val="left" w:pos="360"/>
        </w:tabs>
      </w:pPr>
    </w:p>
    <w:p w:rsidR="00C116D5" w:rsidP="00F96D5F" w:rsidRDefault="0020693E">
      <w:pPr>
        <w:tabs>
          <w:tab w:val="left" w:pos="0"/>
          <w:tab w:val="left" w:pos="360"/>
        </w:tabs>
      </w:pPr>
      <w:r>
        <w:t>Sud</w:t>
      </w:r>
      <w:r w:rsidR="00F71208">
        <w:t xml:space="preserve"> utvrđuje da su na današnjoj skupštini donijete sljedeće odluke:</w:t>
      </w:r>
    </w:p>
    <w:p w:rsidR="00490323" w:rsidP="00F96D5F" w:rsidRDefault="00490323">
      <w:pPr>
        <w:tabs>
          <w:tab w:val="left" w:pos="0"/>
          <w:tab w:val="left" w:pos="360"/>
        </w:tabs>
      </w:pPr>
    </w:p>
    <w:p w:rsidR="004874E1" w:rsidP="0026682E" w:rsidRDefault="00C70218">
      <w:pPr>
        <w:pStyle w:val="Odlomakpopisa"/>
        <w:numPr>
          <w:ilvl w:val="0"/>
          <w:numId w:val="26"/>
        </w:numPr>
        <w:jc w:val="both"/>
      </w:pPr>
      <w:r>
        <w:t>Pokretnine stečajnog dužnika unovčiti će se prikupljanjem pisanih ponuda stečajnoj upraviteljici i to na način  da se uredska oprema i računala prodaju po početnoj cijeni od 30.000,00 kuna i  da se pri svakom novom pokušaju prodaje cijena snizi za 10% od zadnje oglašene cijene. Pokretnine koje služe proizvodnji pekarskih proizvoda procijeniti će se nakon što stečajna upraviteljica prikupi barem dvije ponude pri čemu će prihvatiti najpovoljniju. Oprema će se unovčiti također prikupljanjem pisanih ponuda stečajnoj upraviteljici a da početna cijena bude ona utvrđena procjenom te da se pri svakom novom pokušaju prodaje ista smanjuje za 10% od prethodno oglašene cijene.</w:t>
      </w:r>
    </w:p>
    <w:p w:rsidR="00C70218" w:rsidP="00C70218" w:rsidRDefault="00C70218">
      <w:pPr>
        <w:ind w:left="360"/>
        <w:jc w:val="both"/>
      </w:pPr>
    </w:p>
    <w:p w:rsidR="004D5067" w:rsidP="00F96D5F" w:rsidRDefault="004D5067">
      <w:pPr>
        <w:tabs>
          <w:tab w:val="left" w:pos="0"/>
          <w:tab w:val="left" w:pos="360"/>
        </w:tabs>
      </w:pPr>
    </w:p>
    <w:p w:rsidRPr="001C322E" w:rsidR="00F96D5F" w:rsidP="00F96D5F" w:rsidRDefault="00F96D5F">
      <w:pPr>
        <w:tabs>
          <w:tab w:val="left" w:pos="0"/>
          <w:tab w:val="left" w:pos="360"/>
        </w:tabs>
      </w:pPr>
      <w:r w:rsidRPr="001C322E">
        <w:t xml:space="preserve">Dovršeno u </w:t>
      </w:r>
      <w:r w:rsidR="0020693E">
        <w:t>10</w:t>
      </w:r>
      <w:r w:rsidR="00651E9B">
        <w:t>,</w:t>
      </w:r>
      <w:r w:rsidR="00427FE8">
        <w:t>26</w:t>
      </w:r>
      <w:r>
        <w:t xml:space="preserve"> </w:t>
      </w:r>
      <w:r w:rsidRPr="001C322E">
        <w:t xml:space="preserve"> sati.</w:t>
      </w:r>
    </w:p>
    <w:p w:rsidRPr="001C322E" w:rsidR="00F96D5F" w:rsidP="00F96D5F" w:rsidRDefault="00F96D5F">
      <w:pPr>
        <w:tabs>
          <w:tab w:val="left" w:pos="0"/>
          <w:tab w:val="left" w:pos="360"/>
        </w:tabs>
        <w:jc w:val="both"/>
      </w:pPr>
    </w:p>
    <w:p w:rsidRPr="001C322E" w:rsidR="00F96D5F" w:rsidP="00F96D5F" w:rsidRDefault="00F96D5F">
      <w:pPr>
        <w:tabs>
          <w:tab w:val="left" w:pos="0"/>
          <w:tab w:val="left" w:pos="360"/>
        </w:tabs>
        <w:jc w:val="both"/>
      </w:pPr>
      <w:r w:rsidRPr="001C322E">
        <w:t>ZAPISNIČAR</w:t>
      </w:r>
      <w:r w:rsidRPr="001C322E">
        <w:tab/>
      </w:r>
      <w:r w:rsidRPr="001C322E">
        <w:tab/>
        <w:t xml:space="preserve"> </w:t>
      </w:r>
      <w:r>
        <w:tab/>
      </w:r>
      <w:r w:rsidR="007B1162">
        <w:tab/>
      </w:r>
      <w:r w:rsidRPr="001C322E">
        <w:t>SUDAC</w:t>
      </w:r>
      <w:r w:rsidRPr="001C322E">
        <w:tab/>
        <w:t xml:space="preserve">          </w:t>
      </w:r>
      <w:r>
        <w:tab/>
      </w:r>
      <w:r>
        <w:tab/>
      </w:r>
      <w:r w:rsidRPr="001C322E">
        <w:t xml:space="preserve">STEČAJNI UPRAVITELJ </w:t>
      </w:r>
      <w:r w:rsidRPr="001C322E">
        <w:tab/>
      </w:r>
    </w:p>
    <w:p w:rsidRPr="001C322E" w:rsidR="00F96D5F" w:rsidP="00F96D5F" w:rsidRDefault="00F96D5F">
      <w:pPr>
        <w:tabs>
          <w:tab w:val="left" w:pos="0"/>
          <w:tab w:val="left" w:pos="360"/>
        </w:tabs>
        <w:jc w:val="both"/>
      </w:pPr>
    </w:p>
    <w:p w:rsidRPr="00C54F05" w:rsidR="001B5640" w:rsidP="00E008CF" w:rsidRDefault="00BD0C21">
      <w:pPr>
        <w:tabs>
          <w:tab w:val="left" w:pos="0"/>
          <w:tab w:val="left" w:pos="360"/>
        </w:tabs>
        <w:jc w:val="both"/>
      </w:pPr>
      <w:r>
        <w:t>VJEROVNICI</w:t>
      </w:r>
    </w:p>
    <w:sectPr w:rsidRPr="00C54F05" w:rsidR="001B5640" w:rsidSect="00F71208">
      <w:headerReference w:type="default" r:id="rId9"/>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3314C" w:rsidR="004823B4" w:rsidP="00805CD1" w:rsidRDefault="004823B4">
    <w:pPr>
      <w:pStyle w:val="Zaglavlje"/>
      <w:jc w:val="center"/>
    </w:pPr>
    <w:r>
      <w:t xml:space="preserve">                                                                        </w:t>
    </w:r>
    <w:r w:rsidRPr="00F3314C">
      <w:fldChar w:fldCharType="begin"/>
    </w:r>
    <w:r w:rsidRPr="00F3314C">
      <w:instrText>PAGE   \* MERGEFORMAT</w:instrText>
    </w:r>
    <w:r w:rsidRPr="00F3314C">
      <w:fldChar w:fldCharType="separate"/>
    </w:r>
    <w:r w:rsidR="00742BE1">
      <w:rPr>
        <w:noProof/>
      </w:rPr>
      <w:t>3</w:t>
    </w:r>
    <w:r w:rsidRPr="00F3314C">
      <w:fldChar w:fldCharType="end"/>
    </w:r>
    <w:r w:rsidRPr="00F3314C">
      <w:t xml:space="preserve">                                                  1</w:t>
    </w:r>
    <w:r>
      <w:t xml:space="preserve"> </w:t>
    </w:r>
    <w:r w:rsidRPr="00F3314C">
      <w:t>S</w:t>
    </w:r>
    <w:r>
      <w:t>t</w:t>
    </w:r>
    <w:r w:rsidRPr="00F3314C">
      <w:t>-</w:t>
    </w:r>
    <w:r w:rsidR="006868CD">
      <w:t>142</w:t>
    </w:r>
    <w:r w:rsidRPr="00F30D73" w:rsidR="002316EC">
      <w:t>/</w:t>
    </w:r>
    <w:r w:rsidR="00A65177">
      <w:t>1</w:t>
    </w:r>
    <w:r w:rsidR="00450FD5">
      <w:t>8</w:t>
    </w:r>
    <w:r w:rsidR="00A65177">
      <w:t>-</w:t>
    </w:r>
    <w:r w:rsidR="006868CD">
      <w:t>102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5">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8">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F5A1834"/>
    <w:multiLevelType w:val="hybridMultilevel"/>
    <w:tmpl w:val="83D6481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1">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2">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3">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0"/>
  </w:num>
  <w:num w:numId="2">
    <w:abstractNumId w:val="17"/>
  </w:num>
  <w:num w:numId="3">
    <w:abstractNumId w:val="13"/>
  </w:num>
  <w:num w:numId="4">
    <w:abstractNumId w:val="22"/>
  </w:num>
  <w:num w:numId="5">
    <w:abstractNumId w:val="4"/>
  </w:num>
  <w:num w:numId="6">
    <w:abstractNumId w:val="14"/>
  </w:num>
  <w:num w:numId="7">
    <w:abstractNumId w:val="5"/>
  </w:num>
  <w:num w:numId="8">
    <w:abstractNumId w:val="3"/>
  </w:num>
  <w:num w:numId="9">
    <w:abstractNumId w:val="6"/>
  </w:num>
  <w:num w:numId="10">
    <w:abstractNumId w:val="21"/>
  </w:num>
  <w:num w:numId="11">
    <w:abstractNumId w:val="1"/>
  </w:num>
  <w:num w:numId="12">
    <w:abstractNumId w:val="12"/>
  </w:num>
  <w:num w:numId="13">
    <w:abstractNumId w:val="24"/>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7"/>
  </w:num>
  <w:num w:numId="18">
    <w:abstractNumId w:val="0"/>
  </w:num>
  <w:num w:numId="19">
    <w:abstractNumId w:val="9"/>
  </w:num>
  <w:num w:numId="20">
    <w:abstractNumId w:val="15"/>
  </w:num>
  <w:num w:numId="21">
    <w:abstractNumId w:val="23"/>
  </w:num>
  <w:num w:numId="22">
    <w:abstractNumId w:val="11"/>
  </w:num>
  <w:num w:numId="23">
    <w:abstractNumId w:val="10"/>
  </w:num>
  <w:num w:numId="24">
    <w:abstractNumId w:val="18"/>
  </w:num>
  <w:num w:numId="25">
    <w:abstractNumId w:val="8"/>
  </w:num>
  <w:num w:numId="26">
    <w:abstractNumId w:val="1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54CFC"/>
    <w:rsid w:val="0007213B"/>
    <w:rsid w:val="000727EA"/>
    <w:rsid w:val="0007348F"/>
    <w:rsid w:val="00081A58"/>
    <w:rsid w:val="0008308B"/>
    <w:rsid w:val="000A752E"/>
    <w:rsid w:val="000C6530"/>
    <w:rsid w:val="000D2695"/>
    <w:rsid w:val="000F0D50"/>
    <w:rsid w:val="000F2F59"/>
    <w:rsid w:val="001058A1"/>
    <w:rsid w:val="00111F9E"/>
    <w:rsid w:val="00116AE8"/>
    <w:rsid w:val="001236AC"/>
    <w:rsid w:val="00135E29"/>
    <w:rsid w:val="001648F1"/>
    <w:rsid w:val="0017355B"/>
    <w:rsid w:val="001932E2"/>
    <w:rsid w:val="001B0D22"/>
    <w:rsid w:val="001B2564"/>
    <w:rsid w:val="001B5640"/>
    <w:rsid w:val="001C2763"/>
    <w:rsid w:val="001D0E9B"/>
    <w:rsid w:val="001E71A6"/>
    <w:rsid w:val="0020693E"/>
    <w:rsid w:val="00220CA9"/>
    <w:rsid w:val="00224227"/>
    <w:rsid w:val="002316EC"/>
    <w:rsid w:val="00251190"/>
    <w:rsid w:val="002632FB"/>
    <w:rsid w:val="0026682E"/>
    <w:rsid w:val="00293FE2"/>
    <w:rsid w:val="002B2A2A"/>
    <w:rsid w:val="002F2B7F"/>
    <w:rsid w:val="00314050"/>
    <w:rsid w:val="00325049"/>
    <w:rsid w:val="00336222"/>
    <w:rsid w:val="00350A4A"/>
    <w:rsid w:val="003853F9"/>
    <w:rsid w:val="003B1061"/>
    <w:rsid w:val="003B3D8E"/>
    <w:rsid w:val="003E22D0"/>
    <w:rsid w:val="003F2267"/>
    <w:rsid w:val="003F6C10"/>
    <w:rsid w:val="0040393E"/>
    <w:rsid w:val="004041A5"/>
    <w:rsid w:val="0041624E"/>
    <w:rsid w:val="00427FE8"/>
    <w:rsid w:val="00431A46"/>
    <w:rsid w:val="00445665"/>
    <w:rsid w:val="00450FD5"/>
    <w:rsid w:val="00455E64"/>
    <w:rsid w:val="00472230"/>
    <w:rsid w:val="004823B4"/>
    <w:rsid w:val="004874E1"/>
    <w:rsid w:val="00487C7F"/>
    <w:rsid w:val="00490323"/>
    <w:rsid w:val="00493236"/>
    <w:rsid w:val="004963B1"/>
    <w:rsid w:val="004A0F8E"/>
    <w:rsid w:val="004A5B0A"/>
    <w:rsid w:val="004D5067"/>
    <w:rsid w:val="004D53A3"/>
    <w:rsid w:val="00524D93"/>
    <w:rsid w:val="005377A0"/>
    <w:rsid w:val="00540349"/>
    <w:rsid w:val="005677A9"/>
    <w:rsid w:val="005954D0"/>
    <w:rsid w:val="005973E3"/>
    <w:rsid w:val="005B6150"/>
    <w:rsid w:val="005D268C"/>
    <w:rsid w:val="005F0790"/>
    <w:rsid w:val="005F1A1A"/>
    <w:rsid w:val="00601ACD"/>
    <w:rsid w:val="00603FF6"/>
    <w:rsid w:val="00636F12"/>
    <w:rsid w:val="00651E9B"/>
    <w:rsid w:val="006539F1"/>
    <w:rsid w:val="0065448E"/>
    <w:rsid w:val="00662BBC"/>
    <w:rsid w:val="006804E7"/>
    <w:rsid w:val="006868CD"/>
    <w:rsid w:val="0068761E"/>
    <w:rsid w:val="0069087B"/>
    <w:rsid w:val="006A46AA"/>
    <w:rsid w:val="006B0187"/>
    <w:rsid w:val="006E39E9"/>
    <w:rsid w:val="007058C7"/>
    <w:rsid w:val="00722A49"/>
    <w:rsid w:val="007400B6"/>
    <w:rsid w:val="0074069B"/>
    <w:rsid w:val="00742BE1"/>
    <w:rsid w:val="00743FBA"/>
    <w:rsid w:val="00764338"/>
    <w:rsid w:val="00793082"/>
    <w:rsid w:val="007A72BF"/>
    <w:rsid w:val="007B1162"/>
    <w:rsid w:val="007B6F33"/>
    <w:rsid w:val="007D53DE"/>
    <w:rsid w:val="007D7102"/>
    <w:rsid w:val="00805CD1"/>
    <w:rsid w:val="008439AB"/>
    <w:rsid w:val="00891D49"/>
    <w:rsid w:val="008B1FEF"/>
    <w:rsid w:val="008E380D"/>
    <w:rsid w:val="008E6570"/>
    <w:rsid w:val="009079B1"/>
    <w:rsid w:val="0091354A"/>
    <w:rsid w:val="00924AF5"/>
    <w:rsid w:val="009306F8"/>
    <w:rsid w:val="00932BA8"/>
    <w:rsid w:val="009447BE"/>
    <w:rsid w:val="00953054"/>
    <w:rsid w:val="00954B32"/>
    <w:rsid w:val="00965003"/>
    <w:rsid w:val="009722E1"/>
    <w:rsid w:val="009A0A34"/>
    <w:rsid w:val="009A7A13"/>
    <w:rsid w:val="009B3DF2"/>
    <w:rsid w:val="009E003C"/>
    <w:rsid w:val="009E46B4"/>
    <w:rsid w:val="00A1606F"/>
    <w:rsid w:val="00A36272"/>
    <w:rsid w:val="00A51E53"/>
    <w:rsid w:val="00A5237A"/>
    <w:rsid w:val="00A63B5E"/>
    <w:rsid w:val="00A65177"/>
    <w:rsid w:val="00A82096"/>
    <w:rsid w:val="00A85AD9"/>
    <w:rsid w:val="00A97876"/>
    <w:rsid w:val="00AB13C0"/>
    <w:rsid w:val="00AB454C"/>
    <w:rsid w:val="00AD41F1"/>
    <w:rsid w:val="00AE6A7C"/>
    <w:rsid w:val="00AE7208"/>
    <w:rsid w:val="00AF609E"/>
    <w:rsid w:val="00AF6CB0"/>
    <w:rsid w:val="00B23026"/>
    <w:rsid w:val="00B234EA"/>
    <w:rsid w:val="00B24E75"/>
    <w:rsid w:val="00B30EDC"/>
    <w:rsid w:val="00B31817"/>
    <w:rsid w:val="00B33BD3"/>
    <w:rsid w:val="00B3762A"/>
    <w:rsid w:val="00B410B8"/>
    <w:rsid w:val="00B50BB6"/>
    <w:rsid w:val="00B7398C"/>
    <w:rsid w:val="00B77F2A"/>
    <w:rsid w:val="00B85E9B"/>
    <w:rsid w:val="00BA5EFA"/>
    <w:rsid w:val="00BB376D"/>
    <w:rsid w:val="00BD0B31"/>
    <w:rsid w:val="00BD0C21"/>
    <w:rsid w:val="00BE176D"/>
    <w:rsid w:val="00C116D5"/>
    <w:rsid w:val="00C25978"/>
    <w:rsid w:val="00C54F05"/>
    <w:rsid w:val="00C70218"/>
    <w:rsid w:val="00C75ADA"/>
    <w:rsid w:val="00C81A61"/>
    <w:rsid w:val="00C86877"/>
    <w:rsid w:val="00CA4F46"/>
    <w:rsid w:val="00CB7609"/>
    <w:rsid w:val="00CC1E52"/>
    <w:rsid w:val="00D00E49"/>
    <w:rsid w:val="00D4210E"/>
    <w:rsid w:val="00D42D80"/>
    <w:rsid w:val="00D43251"/>
    <w:rsid w:val="00D64038"/>
    <w:rsid w:val="00D64F30"/>
    <w:rsid w:val="00D722BB"/>
    <w:rsid w:val="00D7743B"/>
    <w:rsid w:val="00DB7D00"/>
    <w:rsid w:val="00DC6E0D"/>
    <w:rsid w:val="00DD0245"/>
    <w:rsid w:val="00DD4763"/>
    <w:rsid w:val="00DE5E55"/>
    <w:rsid w:val="00DF1422"/>
    <w:rsid w:val="00DF300C"/>
    <w:rsid w:val="00E008CF"/>
    <w:rsid w:val="00E0563D"/>
    <w:rsid w:val="00E20DC1"/>
    <w:rsid w:val="00E3035E"/>
    <w:rsid w:val="00E4499D"/>
    <w:rsid w:val="00E47962"/>
    <w:rsid w:val="00E93CBD"/>
    <w:rsid w:val="00E9558D"/>
    <w:rsid w:val="00EC4814"/>
    <w:rsid w:val="00EC55C1"/>
    <w:rsid w:val="00EC65AF"/>
    <w:rsid w:val="00EE5C42"/>
    <w:rsid w:val="00EF39C5"/>
    <w:rsid w:val="00F10468"/>
    <w:rsid w:val="00F24D9D"/>
    <w:rsid w:val="00F24E03"/>
    <w:rsid w:val="00F2515C"/>
    <w:rsid w:val="00F30096"/>
    <w:rsid w:val="00F30D73"/>
    <w:rsid w:val="00F3314C"/>
    <w:rsid w:val="00F33875"/>
    <w:rsid w:val="00F44973"/>
    <w:rsid w:val="00F47C69"/>
    <w:rsid w:val="00F71208"/>
    <w:rsid w:val="00F95261"/>
    <w:rsid w:val="00F96D5F"/>
    <w:rsid w:val="00FA1F3A"/>
    <w:rsid w:val="00FA777A"/>
    <w:rsid w:val="00FB4A49"/>
    <w:rsid w:val="00FC495D"/>
    <w:rsid w:val="00FD2340"/>
    <w:rsid w:val="00FD6170"/>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01AA9690"/>
  <w15:docId w15:val="{3239675A-B08D-411C-AB96-C2B24AB92E2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character" w:styleId="Tekstrezerviranogmjesta">
    <w:name w:val="Placeholder Text"/>
    <w:basedOn w:val="Zadanifontodlomka"/>
    <w:uiPriority w:val="99"/>
    <w:semiHidden/>
    <w:rsid w:val="00742BE1"/>
    <w:rPr>
      <w:color w:val="808080"/>
      <w:bdr w:val="none" w:color="auto" w:sz="0" w:space="0"/>
      <w:shd w:val="clear" w:color="auto" w:fill="auto"/>
    </w:rPr>
  </w:style>
  <w:style w:type="character" w:styleId="eSPISCCParagraphDefaultFont" w:customStyle="true">
    <w:name w:val="eSPIS_CC_Paragraph Default Font"/>
    <w:basedOn w:val="Zadanifontodlomka"/>
    <w:rsid w:val="00742BE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42BE1"/>
    <w:rPr>
      <w:bdr w:val="none" w:color="auto" w:sz="0" w:space="0"/>
      <w:shd w:val="clear" w:color="auto" w:fill="FFFFCC"/>
      <w:lang w:val="hr-HR"/>
    </w:rPr>
  </w:style>
  <w:style w:type="character" w:styleId="PozadinaSvijetloCrvena" w:customStyle="true">
    <w:name w:val="Pozadina_SvijetloCrvena"/>
    <w:basedOn w:val="eSPISCCParagraphDefaultFont"/>
    <w:rsid w:val="00742BE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42BE1"/>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635134413">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27. siječnja 2021.</izvorni_sadrzaj>
    <derivirana_varijabla naziv="DomainObject.StvarniPocetakDatum_1">27. siječnja 2021.</derivirana_varijabla>
  </DomainObject.StvarniPocetakDatum>
  <DomainObject.StvarniZavrsetakDatum>
    <izvorni_sadrzaj>27. siječnja 2021.</izvorni_sadrzaj>
    <derivirana_varijabla naziv="DomainObject.StvarniZavrsetakDatum_1">27. siječnja 2021.</derivirana_varijabla>
  </DomainObject.StvarniZavrsetakDatum>
  <DomainObject.PlaniraniZavrsetakDatum>
    <izvorni_sadrzaj>27. siječnja 2021.</izvorni_sadrzaj>
    <derivirana_varijabla naziv="DomainObject.PlaniraniZavrsetakDatum_1">27. siječnja 2021.</derivirana_varijabla>
  </DomainObject.PlaniraniZavrsetakDatum>
  <DomainObject.PlaniraniPocetakDatum>
    <izvorni_sadrzaj>27. siječnja 2021.</izvorni_sadrzaj>
    <derivirana_varijabla naziv="DomainObject.PlaniraniPocetakDatum_1">27. siječnja 2021.</derivirana_varijabla>
  </DomainObject.PlaniraniPocetakDatum>
  <DomainObject.StvarniPocetakVrijeme>
    <izvorni_sadrzaj>09:45</izvorni_sadrzaj>
    <derivirana_varijabla naziv="DomainObject.StvarniPocetakVrijeme_1">09:45</derivirana_varijabla>
  </DomainObject.StvarniPocetakVrijeme>
  <DomainObject.StvarniZavrsetakVrijeme>
    <izvorni_sadrzaj>10:26</izvorni_sadrzaj>
    <derivirana_varijabla naziv="DomainObject.StvarniZavrsetakVrijeme_1">10:26</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siječnja 2021.</izvorni_sadrzaj>
    <derivirana_varijabla naziv="DomainObject.Zapisnik.DatumKreiranja_1">27. siječnja 2021.</derivirana_varijabla>
  </DomainObject.Zapisnik.DatumKreiranja>
  <DomainObject.Zapisnik.ImovinskaKorist>
    <izvorni_sadrzaj/>
    <derivirana_varijabla naziv="DomainObject.Zapisnik.ImovinskaKorist_1"/>
  </DomainObject.Zapisnik.ImovinskaKorist>
  <DomainObject.Zapisnik.Oznaka>
    <izvorni_sadrzaj>St-142/2018-99</izvorni_sadrzaj>
    <derivirana_varijabla naziv="DomainObject.Zapisnik.Oznaka_1">St-142/2018-99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St-142/2018</izvorni_sadrzaj>
    <derivirana_varijabla naziv="DomainObject.Predmet.OznakaBroj_1">St-142/2018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MATKOL, d.o.o. za proizvodnju prehrambenih proizvoda, trgovinu i usluge</izvorni_sadrzaj>
    <derivirana_varijabla naziv="DomainObject.Predmet.ProtustrankaFormated_1">  MATKOL, d.o.o. za proizvodnju prehrambenih proizvoda, trgovinu i usluge</derivirana_varijabla>
  </DomainObject.Predmet.ProtustrankaFormated>
  <DomainObject.Predmet.ProtustrankaFormatedOIB>
    <izvorni_sadrzaj>  MATKOL, d.o.o. za proizvodnju prehrambenih proizvoda, trgovinu i usluge, OIB 14821448506</izvorni_sadrzaj>
    <derivirana_varijabla naziv="DomainObject.Predmet.ProtustrankaFormatedOIB_1">  MATKOL, d.o.o. za proizvodnju prehrambenih proizvoda, trgovinu i usluge, OIB 14821448506</derivirana_varijabla>
  </DomainObject.Predmet.ProtustrankaFormatedOIB>
  <DomainObject.Predmet.ProtustrankaFormatedWithAdress>
    <izvorni_sadrzaj> MATKOL, d.o.o. za proizvodnju prehrambenih proizvoda, trgovinu i usluge, 8. Dalmatinske udarne brigade 23, 22000 Šibenik</izvorni_sadrzaj>
    <derivirana_varijabla naziv="DomainObject.Predmet.ProtustrankaFormatedWithAdress_1"> MATKOL, d.o.o. za proizvodnju prehrambenih proizvoda, trgovinu i usluge, 8. Dalmatinske udarne brigade 23, 22000 Šibenik</derivirana_varijabla>
  </DomainObject.Predmet.ProtustrankaFormatedWithAdress>
  <DomainObject.Predmet.ProtustrankaFormatedWithAdressOIB>
    <izvorni_sadrzaj> MATKOL, d.o.o. za proizvodnju prehrambenih proizvoda, trgovinu i usluge, OIB 14821448506, 8. Dalmatinske udarne brigade 23, 22000 Šibenik</izvorni_sadrzaj>
    <derivirana_varijabla naziv="DomainObject.Predmet.ProtustrankaFormatedWithAdressOIB_1"> MATKOL, d.o.o. za proizvodnju prehrambenih proizvoda, trgovinu i usluge, OIB 14821448506, 8. Dalmatinske udarne brigade 23, 22000 Šibenik</derivirana_varijabla>
  </DomainObject.Predmet.ProtustrankaFormatedWithAdressOIB>
  <DomainObject.Predmet.ProtustrankaWithAdress>
    <izvorni_sadrzaj>MATKOL, d.o.o. za proizvodnju prehrambenih proizvoda, trgovinu i usluge 8. Dalmatinske udarne brigade 23, 22000 Šibenik</izvorni_sadrzaj>
    <derivirana_varijabla naziv="DomainObject.Predmet.ProtustrankaWithAdress_1">MATKOL, d.o.o. za proizvodnju prehrambenih proizvoda, trgovinu i usluge 8. Dalmatinske udarne brigade 23, 22000 Šibenik</derivirana_varijabla>
  </DomainObject.Predmet.ProtustrankaWithAdress>
  <DomainObject.Predmet.ProtustrankaWithAdressOIB>
    <izvorni_sadrzaj>MATKOL, d.o.o. za proizvodnju prehrambenih proizvoda, trgovinu i usluge, OIB 14821448506, 8. Dalmatinske udarne brigade 23, 22000 Šibenik</izvorni_sadrzaj>
    <derivirana_varijabla naziv="DomainObject.Predmet.ProtustrankaWithAdressOIB_1">MATKOL, d.o.o. za proizvodnju prehrambenih proizvoda, trgovinu i usluge, OIB 14821448506, 8. Dalmatinske udarne brigade 23, 22000 Šibenik</derivirana_varijabla>
  </DomainObject.Predmet.ProtustrankaWithAdressOIB>
  <DomainObject.Predmet.ProtustrankaNazivFormated>
    <izvorni_sadrzaj>MATKOL, d.o.o. za proizvodnju prehrambenih proizvoda, trgovinu i usluge</izvorni_sadrzaj>
    <derivirana_varijabla naziv="DomainObject.Predmet.ProtustrankaNazivFormated_1">MATKOL, d.o.o. za proizvodnju prehrambenih proizvoda, trgovinu i usluge</derivirana_varijabla>
  </DomainObject.Predmet.ProtustrankaNazivFormated>
  <DomainObject.Predmet.ProtustrankaNazivFormatedOIB>
    <izvorni_sadrzaj>MATKOL, d.o.o. za proizvodnju prehrambenih proizvoda, trgovinu i usluge, OIB 14821448506</izvorni_sadrzaj>
    <derivirana_varijabla naziv="DomainObject.Predmet.ProtustrankaNazivFormatedOIB_1">MATKOL, d.o.o. za proizvodnju prehrambenih proizvoda, trgovinu i usluge, OIB 14821448506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Knežević</izvorni_sadrzaj>
    <derivirana_varijabla naziv="DomainObject.Predmet.Zapisnicar_1">Vedrana Knežević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MATKOL, d.o.o. za proizvodnju prehrambenih proizvoda, trgovinu i usluge</item>
    </izvorni_sadrzaj>
    <derivirana_varijabla naziv="DomainObject.Predmet.ProtuStrankaListFormated_1">
      <item>MATKOL, d.o.o. za proizvodnju prehrambenih proizvoda, trgovinu i usluge</item>
    </derivirana_varijabla>
  </DomainObject.Predmet.ProtuStrankaListFormated>
  <DomainObject.Predmet.ProtuStrankaListFormatedOIB>
    <izvorni_sadrzaj>
      <item>MATKOL, d.o.o. za proizvodnju prehrambenih proizvoda, trgovinu i usluge, OIB 14821448506</item>
    </izvorni_sadrzaj>
    <derivirana_varijabla naziv="DomainObject.Predmet.ProtuStrankaListFormatedOIB_1">
      <item>MATKOL, d.o.o. za proizvodnju prehrambenih proizvoda, trgovinu i usluge, OIB 14821448506</item>
    </derivirana_varijabla>
  </DomainObject.Predmet.ProtuStrankaListFormatedOIB>
  <DomainObject.Predmet.ProtuStrankaListFormatedWithAdress>
    <izvorni_sadrzaj>
      <item>MATKOL, d.o.o. za proizvodnju prehrambenih proizvoda, trgovinu i usluge, 8. Dalmatinske udarne brigade 23, 22000 Šibenik</item>
    </izvorni_sadrzaj>
    <derivirana_varijabla naziv="DomainObject.Predmet.ProtuStrankaListFormatedWithAdress_1">
      <item>MATKOL, d.o.o. za proizvodnju prehrambenih proizvoda, trgovinu i usluge, 8. Dalmatinske udarne brigade 23, 22000 Šibenik</item>
    </derivirana_varijabla>
  </DomainObject.Predmet.ProtuStrankaListFormatedWithAdress>
  <DomainObject.Predmet.ProtuStrankaListFormatedWithAdressOIB>
    <izvorni_sadrzaj>
      <item>MATKOL, d.o.o. za proizvodnju prehrambenih proizvoda, trgovinu i usluge, OIB 14821448506, 8. Dalmatinske udarne brigade 23, 22000 Šibenik</item>
    </izvorni_sadrzaj>
    <derivirana_varijabla naziv="DomainObject.Predmet.ProtuStrankaListFormatedWithAdressOIB_1">
      <item>MATKOL, d.o.o. za proizvodnju prehrambenih proizvoda, trgovinu i usluge, OIB 14821448506, 8. Dalmatinske udarne brigade 23, 22000 Šibenik</item>
    </derivirana_varijabla>
  </DomainObject.Predmet.ProtuStrankaListFormatedWithAdressOIB>
  <DomainObject.Predmet.ProtuStrankaListNazivFormated>
    <izvorni_sadrzaj>
      <item>MATKOL, d.o.o. za proizvodnju prehrambenih proizvoda, trgovinu i usluge</item>
    </izvorni_sadrzaj>
    <derivirana_varijabla naziv="DomainObject.Predmet.ProtuStrankaListNazivFormated_1">
      <item>MATKOL, d.o.o. za proizvodnju prehrambenih proizvoda, trgovinu i usluge</item>
    </derivirana_varijabla>
  </DomainObject.Predmet.ProtuStrankaListNazivFormated>
  <DomainObject.Predmet.ProtuStrankaListNazivFormatedOIB>
    <izvorni_sadrzaj>
      <item>MATKOL, d.o.o. za proizvodnju prehrambenih proizvoda, trgovinu i usluge, OIB 14821448506</item>
    </izvorni_sadrzaj>
    <derivirana_varijabla naziv="DomainObject.Predmet.ProtuStrankaListNazivFormatedOIB_1">
      <item>MATKOL, d.o.o. za proizvodnju prehrambenih proizvoda, trgovinu i usluge, OIB 14821448506</item>
    </derivirana_varijabla>
  </DomainObject.Predmet.ProtuStrankaListNazivFormatedOIB>
  <DomainObject.Predmet.OstaliListFormated>
    <izvorni_sadrzaj>
      <item>Branko Koloper</item>
      <item>Odvjetnik Borivoj Mitrić</item>
    </izvorni_sadrzaj>
    <derivirana_varijabla naziv="DomainObject.Predmet.OstaliListFormated_1">
      <item>Branko Koloper</item>
      <item>Odvjetnik Borivoj Mitrić</item>
    </derivirana_varijabla>
  </DomainObject.Predmet.OstaliListFormated>
  <DomainObject.Predmet.OstaliListFormatedOIB>
    <izvorni_sadrzaj>
      <item>Branko Koloper, OIB 11485891677</item>
      <item>Odvjetnik Borivoj Mitrić</item>
    </izvorni_sadrzaj>
    <derivirana_varijabla naziv="DomainObject.Predmet.OstaliListFormatedOIB_1">
      <item>Branko Koloper, OIB 11485891677</item>
      <item>Odvjetnik Borivoj Mitrić</item>
    </derivirana_varijabla>
  </DomainObject.Predmet.OstaliListFormatedOIB>
  <DomainObject.Predmet.OstaliListFormatedWithAdress>
    <izvorni_sadrzaj>
      <item>Branko Koloper, Ul.8.udarne Dalmat.brigade 23, 22000 Šibenik</item>
      <item>Odvjetnik Borivoj Mitrić, Radića 31, 22000 Šibenik</item>
    </izvorni_sadrzaj>
    <derivirana_varijabla naziv="DomainObject.Predmet.OstaliListFormatedWithAdress_1">
      <item>Branko Koloper, Ul.8.udarne Dalmat.brigade 23, 22000 Šibenik</item>
      <item>Odvjetnik Borivoj Mitrić, Radića 31, 22000 Šibenik</item>
    </derivirana_varijabla>
  </DomainObject.Predmet.OstaliListFormatedWithAdress>
  <DomainObject.Predmet.OstaliListFormatedWithAdressOIB>
    <izvorni_sadrzaj>
      <item>Branko Koloper, OIB 11485891677, Ul.8.udarne Dalmat.brigade 23, 22000 Šibenik</item>
      <item>Odvjetnik Borivoj Mitrić, Radića 31, 22000 Šibenik</item>
    </izvorni_sadrzaj>
    <derivirana_varijabla naziv="DomainObject.Predmet.OstaliListFormatedWithAdressOIB_1">
      <item>Branko Koloper, OIB 11485891677, Ul.8.udarne Dalmat.brigade 23, 22000 Šibenik</item>
      <item>Odvjetnik Borivoj Mitrić, Radića 31, 22000 Šibenik</item>
    </derivirana_varijabla>
  </DomainObject.Predmet.OstaliListFormatedWithAdressOIB>
  <DomainObject.Predmet.OstaliListNazivFormated>
    <izvorni_sadrzaj>
      <item>Branko Koloper</item>
      <item>Odvjetnik Borivoj Mitrić</item>
    </izvorni_sadrzaj>
    <derivirana_varijabla naziv="DomainObject.Predmet.OstaliListNazivFormated_1">
      <item>Branko Koloper</item>
      <item>Odvjetnik Borivoj Mitrić</item>
    </derivirana_varijabla>
  </DomainObject.Predmet.OstaliListNazivFormated>
  <DomainObject.Predmet.OstaliListNazivFormatedOIB>
    <izvorni_sadrzaj>
      <item>Branko Koloper, OIB 11485891677</item>
      <item>Odvjetnik Borivoj Mitrić</item>
    </izvorni_sadrzaj>
    <derivirana_varijabla naziv="DomainObject.Predmet.OstaliListNazivFormatedOIB_1">
      <item>Branko Koloper, OIB 11485891677</item>
      <item>Odvjetnik Borivoj Mitrić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27. siječnja 2021.</izvorni_sadrzaj>
    <derivirana_varijabla naziv="DomainObject.Datum_1">27. siječnja 2021.</derivirana_varijabla>
  </DomainObject.Datum>
  <DomainObject.PoslovniBrojDokumenta>
    <izvorni_sadrzaj>St-142/2018-99</izvorni_sadrzaj>
    <derivirana_varijabla naziv="DomainObject.PoslovniBrojDokumenta_1">St-142/2018-99</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MATKOL, d.o.o. za proizvodnju prehrambenih proizvoda, trgovinu i usluge</izvorni_sadrzaj>
    <derivirana_varijabla naziv="DomainObject.Predmet.ProtustrankaIDrugi_1">MATKOL, d.o.o. za proizvodnju prehrambenih proizvoda,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MATKOL, d.o.o. za proizvodnju prehrambenih proizvoda, trgovinu i usluge, OIB 14821448506, 8. Dalmatinske udarne brigade 23, 22000 Šibenik</izvorni_sadrzaj>
    <derivirana_varijabla naziv="DomainObject.Predmet.ProtustrankaIDrugiAdressOIB_1">MATKOL, d.o.o. za proizvodnju prehrambenih proizvoda, trgovinu i usluge, OIB 14821448506, 8. Dalmatinske udarne brigade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MATKOL, d.o.o. za proizvodnju prehrambenih proizvoda, trgovinu i usluge</item>
      <item>Branko Koloper</item>
      <item>Odvjetnik Borivoj Mitrić</item>
    </izvorni_sadrzaj>
    <derivirana_varijabla naziv="DomainObject.Predmet.SudioniciListNaziv_1">
      <item>FINA - Podružnica Šibenik</item>
      <item>MATKOL, d.o.o. za proizvodnju prehrambenih proizvoda, trgovinu i usluge</item>
      <item>Branko Koloper</item>
      <item>Odvjetnik Borivoj Mitrić</item>
    </derivirana_varijabla>
  </DomainObject.Predmet.SudioniciListNaziv>
  <DomainObject.Predmet.SudioniciListAdressOIB>
    <izvorni_sadrzaj>
      <item>FINA - Podružnica Šibenik, OIB 85821130368, Perivoj L. Marune 1,22000 Šibenik</item>
      <item>MATKOL, d.o.o. za proizvodnju prehrambenih proizvoda, trgovinu i usluge, OIB 14821448506, 8. Dalmatinske udarne brigade 23,22000 Šibenik</item>
      <item>Branko Koloper, OIB 11485891677, Ul.8.udarne Dalmat.brigade 23,22000 Šibenik</item>
      <item>Odvjetnik Borivoj Mitrić, Radića 31,22000 Šibenik</item>
    </izvorni_sadrzaj>
    <derivirana_varijabla naziv="DomainObject.Predmet.SudioniciListAdressOIB_1">
      <item>FINA - Podružnica Šibenik, OIB 85821130368, Perivoj L. Marune 1,22000 Šibenik</item>
      <item>MATKOL, d.o.o. za proizvodnju prehrambenih proizvoda, trgovinu i usluge, OIB 14821448506, 8. Dalmatinske udarne brigade 23,22000 Šibenik</item>
      <item>Branko Koloper, OIB 11485891677, Ul.8.udarne Dalmat.brigade 23,22000 Šibenik</item>
      <item>Odvjetnik Borivoj Mitrić, Radića 31,22000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14821448506</item>
      <item>, OIB 11485891677</item>
      <item>, OIB null</item>
    </izvorni_sadrzaj>
    <derivirana_varijabla naziv="DomainObject.Predmet.SudioniciListNazivOIB_1">
      <item>, OIB 85821130368</item>
      <item>, OIB 14821448506</item>
      <item>, OIB 11485891677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travnja 2018.</izvorni_sadrzaj>
    <derivirana_varijabla naziv="DomainObject.Predmet.DatumPocetkaProcesa_1">30. travnja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7A1481-6C6E-48DF-9E8F-6D4AD725F27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3</properties:Pages>
  <properties:Words>857</properties:Words>
  <properties:Characters>4764</properties:Characters>
  <properties:Lines>174</properties:Lines>
  <properties:Paragraphs>67</properties:Paragraphs>
  <properties:TotalTime>49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5580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2021-01-27T07:07:00Z</dcterms:created>
  <dc:creator>abajlo</dc:creator>
  <cp:lastModifiedBy>Ardena Bajlo</cp:lastModifiedBy>
  <cp:lastPrinted>2019-03-19T10:01:00Z</cp:lastPrinted>
  <dcterms:modified xmlns:xsi="http://www.w3.org/2001/XMLSchema-instance" xsi:type="dcterms:W3CDTF">2021-01-27T13:26:00Z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St-142/2018-99 / Zapisnik - Skupština vjerovnika (1St-142-18 skupština vjerovnika 27.1.2021.docx)</vt:lpwstr>
  </prop:property>
  <prop:property fmtid="{D5CDD505-2E9C-101B-9397-08002B2CF9AE}" pid="4" name="CC_coloring">
    <vt:bool>false</vt:bool>
  </prop:property>
  <prop:property fmtid="{D5CDD505-2E9C-101B-9397-08002B2CF9AE}" pid="5" name="BrojStranica">
    <vt:i4>3</vt:i4>
  </prop:property>
</prop:Properties>
</file>